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インドネシア都市部における露天商の社会的役割と課題：現地インタビューに基づく考察</w:t>
      </w:r>
    </w:p>
    <w:p>
      <w:pPr>
        <w:pStyle w:val="Heading1"/>
      </w:pPr>
      <w:r>
        <w:t>第一章　研究の背景・目的・方法</w:t>
      </w:r>
    </w:p>
    <w:p>
      <w:pPr>
        <w:spacing w:after="200"/>
      </w:pPr>
      <w:r>
        <w:rPr>
          <w:rFonts w:ascii="Yu Mincho" w:hAnsi="Yu Mincho" w:eastAsia="游明朝"/>
          <w:sz w:val="22"/>
        </w:rPr>
        <w:t>近年、インフォーマル経済に対する関心は、発展途上国における都市社会研究の中で急速に高まっている。国際労働機関（ILO）によれば、インフォーマル経済とは国家による規制や社会保障制度の枠外にある経済活動を指し、途上国の都市住民の生計において重要な位置を占めている（ILO, 2018）。インドネシアにおいても同様に、都市部では膨大な数の労働者が露天商（pedagang kaki lima）として生活を営んでおり、その存在は日常生活に密接に結びついている。</w:t>
      </w:r>
    </w:p>
    <w:p>
      <w:pPr>
        <w:spacing w:after="200"/>
      </w:pPr>
      <w:r>
        <w:rPr>
          <w:rFonts w:ascii="Yu Mincho" w:hAnsi="Yu Mincho" w:eastAsia="游明朝"/>
          <w:sz w:val="22"/>
        </w:rPr>
        <w:t xml:space="preserve">　露天商は、手軽に安価な商品や食事を提供することで、都市住民に不可欠なサービスを担っている。一方で、道路占有や衛生問題、渋滞の原因など、都市計画や公共秩序の観点からしばしば問題視される存在でもある。特に大都市ジャカルタにおいては、露天商の排除や再配置をめぐり、行政と露天商の間で対立が繰り返されてきた（Bhowmik, 2005）。このように、露天商は都市社会における二面性を体現する存在であり、単に「迷惑な存在」として扱うのではなく、インフォーマル経済の担い手としてその役割や課題を検討する必要がある。</w:t>
      </w:r>
    </w:p>
    <w:p>
      <w:pPr>
        <w:spacing w:after="200"/>
      </w:pPr>
      <w:r>
        <w:rPr>
          <w:rFonts w:ascii="Yu Mincho" w:hAnsi="Yu Mincho" w:eastAsia="游明朝"/>
          <w:sz w:val="22"/>
        </w:rPr>
        <w:t xml:space="preserve">　本研究の目的は、インドネシア都市部における露天商の社会的役割と課題を、現地調査を通じて明らかにすることである。とりわけ、警察や自治体との関係、地域住民との摩擦、露天商同士のネットワーク、さらには将来的な制度的支援の必要性に焦点を当てる。本研究は、インフォーマル経済の実態をミクロな視点から明らかにし、都市政策との接点を考察する点に意義がある。</w:t>
      </w:r>
    </w:p>
    <w:p>
      <w:pPr>
        <w:spacing w:after="200"/>
      </w:pPr>
      <w:r>
        <w:rPr>
          <w:rFonts w:ascii="Yu Mincho" w:hAnsi="Yu Mincho" w:eastAsia="游明朝"/>
          <w:sz w:val="22"/>
        </w:rPr>
        <w:t xml:space="preserve">　調査方法としては、インドネシア現地における半構造化インタビューを採用する。インタビューの主な質問項目は以下の五点である。第一に、露天商が警察や自治体からどのような取り締まりや指導を受けているかを明らかにする。これにより、行政と露天商の関係性を把握できる。第二に、営業に必要な許可証や登録の有無を尋ねることで、制度的枠組みへのアクセス状況を検討する。第三に、地域住民や顧客からのクレームの内容を把握し、露天商の社会的受容度を考察する。第四に、露天商同士の助け合いや組合的なネットワークの有無を確認し、社会的連帯の実態を探る。第五に、行政や地域社会に対する改善要望を聞き取ることで、持続可能な政策提言の基盤を得る。</w:t>
      </w:r>
    </w:p>
    <w:p>
      <w:pPr>
        <w:spacing w:after="200"/>
      </w:pPr>
      <w:r>
        <w:rPr>
          <w:rFonts w:ascii="Yu Mincho" w:hAnsi="Yu Mincho" w:eastAsia="游明朝"/>
          <w:sz w:val="22"/>
        </w:rPr>
        <w:t xml:space="preserve">　本研究の学術的意義は三点に整理できる。第一に、インフォーマル経済の担い手としての露天商を、単なる「規制対象」としてではなく「都市の社会経済的機能の一部」として捉える視点を提示する点である。第二に、露天商の生活実態を現地調査を通じて記録することで、統計資料や政策文書では見えにくい日常的な課題を明らかにできる。第三に、都市計画や社会政策の議論において、草の根の視点を組み込むための知見を提供する点にある。</w:t>
      </w:r>
    </w:p>
    <w:p>
      <w:pPr>
        <w:spacing w:after="200"/>
      </w:pPr>
      <w:r>
        <w:rPr>
          <w:rFonts w:ascii="Yu Mincho" w:hAnsi="Yu Mincho" w:eastAsia="游明朝"/>
          <w:sz w:val="22"/>
        </w:rPr>
        <w:t xml:space="preserve">　さらに、本研究は単に露天商の「問題点」を明らかにするのではなく、都市社会における役割を正当に評価することを重視する。露天商は低所得層の生活の糧であると同時に、都市住民にとって身近なサービス提供者であり、その排除は社会的不平等の拡大につながりかねない。したがって、現地調査の成果を踏まえたうえで、インフォーマル経済の持続可能な発展に資する政策的含意を導き出すことが求められる。</w:t>
      </w:r>
    </w:p>
    <w:p>
      <w:pPr>
        <w:spacing w:after="200"/>
      </w:pPr>
      <w:r>
        <w:rPr>
          <w:rFonts w:ascii="Yu Mincho" w:hAnsi="Yu Mincho" w:eastAsia="游明朝"/>
          <w:sz w:val="22"/>
        </w:rPr>
        <w:t xml:space="preserve">　本章では研究の背景と目的、方法を概観した。次章以降では、インフォーマル経済に関する先行研究を整理し、インドネシアにおける露天商の位置づけを理論的に検討する。その後、現地調査の結果をもとに、露天商の社会的役割と課題を具体的に分析していく。</w:t>
      </w:r>
    </w:p>
    <w:p>
      <w:pPr>
        <w:pStyle w:val="Heading1"/>
      </w:pPr>
      <w:r>
        <w:t>第二章　先行研究の整理と理論枠組み</w:t>
      </w:r>
    </w:p>
    <w:p>
      <w:pPr>
        <w:spacing w:after="200"/>
      </w:pPr>
      <w:r>
        <w:rPr>
          <w:rFonts w:ascii="Yu Mincho" w:hAnsi="Yu Mincho" w:eastAsia="游明朝"/>
          <w:sz w:val="22"/>
        </w:rPr>
        <w:t>インフォーマル経済研究は、雇用吸収と生計維持の機能と、公共空間の占有・衛生・交通混雑など外部性の管理という二面性を併せて論じてきた。Bromley（2000）は路上販売をめぐる公共政策を包括的にレビューし、排除型アプローチの副作用を指摘したうえで、計画的包摂と現実的なルール設計の必要性を説く。Cross（2000）はインフォーマル性を「近代的規律」と「実践的妥協」の間に揺れる都市のダイナミクスとして捉え、単純な近代化論では説明できない重層的な交渉を描いた。アジア文脈に限定したレビューとしてはBhowmik（2005）が各都市の取り組みと論点を整理し、露天商を都市経済の不可欠要素として扱う政策転換を提唱している。ILO（2018）は世界就業の約6割がインフォーマルに位置づけられることを統計的に示し、福祉制度や労働保護の空白を縮減する政策的必要を強調した。空間政治の観点からKusno（2013）は、ジャカルタにおける「排除／包摂」の二重性と、国家・地方・地域共同体（RT/RW）という多層アクターの関係性を描いている。</w:t>
      </w:r>
    </w:p>
    <w:p>
      <w:pPr>
        <w:spacing w:after="200"/>
      </w:pPr>
      <w:r>
        <w:rPr>
          <w:rFonts w:ascii="Yu Mincho" w:hAnsi="Yu Mincho" w:eastAsia="游明朝"/>
          <w:sz w:val="22"/>
        </w:rPr>
        <w:t>以上を踏まえ、本研究では（1）制度的アクセス（許可・登録・取り締まり）、（2）社会的受容（迷惑性の知覚）、（3）相互扶助ネットワーク（協同組合・地域共同体）、（4）政策需要（空間・インフラ・福祉・金融）を主要分析軸とする。これにより、露天商の「機能」と「外部性」を対立ではなく“制度設計の最適化問題”として位置づける。</w:t>
      </w:r>
    </w:p>
    <w:p>
      <w:pPr>
        <w:pStyle w:val="Heading1"/>
      </w:pPr>
      <w:r>
        <w:t>第三章　現地調査の結果</w:t>
      </w:r>
    </w:p>
    <w:p>
      <w:pPr>
        <w:pStyle w:val="Heading2"/>
      </w:pPr>
      <w:r>
        <w:t>3.1 許可・登録へのアクセス</w:t>
      </w:r>
    </w:p>
    <w:p>
      <w:pPr>
        <w:spacing w:after="200"/>
      </w:pPr>
      <w:r>
        <w:rPr>
          <w:rFonts w:ascii="Yu Mincho" w:hAnsi="Yu Mincho" w:eastAsia="游明朝"/>
          <w:sz w:val="22"/>
        </w:rPr>
        <w:t>インタビューからは、許可や登録について「必要・取得済み」「不要・未取得」「状況不明」が併存していることが確認された。たとえば、「許可が必要／持っている」と応える主体がいる一方、小規模であること等を理由に「許可は不要」とする認識も散見される。「申請中」「来たばかりで未整備」といった移行状態も観察され、許可取得の閾値や手続きコスト、協同組合加入の有無が分岐点になっている可能性が示唆された。</w:t>
      </w:r>
    </w:p>
    <w:p>
      <w:pPr>
        <w:pStyle w:val="Heading2"/>
      </w:pPr>
      <w:r>
        <w:t>3.2 取り締まり・指導の経験</w:t>
      </w:r>
    </w:p>
    <w:p>
      <w:pPr>
        <w:spacing w:after="200"/>
      </w:pPr>
      <w:r>
        <w:rPr>
          <w:rFonts w:ascii="Yu Mincho" w:hAnsi="Yu Mincho" w:eastAsia="游明朝"/>
          <w:sz w:val="22"/>
        </w:rPr>
        <w:t>「取り締まりがある／ない」の経験は地域・場面により分かれる。露天商の交通阻害等に対する是正や、Satpol PP（治安秩序担当）による介入が語られる一方で、「特段ない」「明確な執行はない」との回答も見られる。地域のRT/RWや協同組合の関与が行政との摩擦を緩和する媒介になっているとの言及もあり、ガバナンスの多層性が確認できる。</w:t>
      </w:r>
    </w:p>
    <w:p>
      <w:pPr>
        <w:pStyle w:val="Heading2"/>
      </w:pPr>
      <w:r>
        <w:t>3.3 社会的受容（迷惑性の知覚）</w:t>
      </w:r>
    </w:p>
    <w:p>
      <w:pPr>
        <w:spacing w:after="200"/>
      </w:pPr>
      <w:r>
        <w:rPr>
          <w:rFonts w:ascii="Yu Mincho" w:hAnsi="Yu Mincho" w:eastAsia="游明朝"/>
          <w:sz w:val="22"/>
        </w:rPr>
        <w:t>顧客・周辺住民からの評価は一枚岩ではない。肯定的な評価（身近で手頃、日常生活の利便性）と、否定的な評価（混雑・衛生・騒音等の懸念）が併存する。ただし「迷惑と言われない／言われたことはない」という回答も少なくなく、場所・時間帯・提供物の種類・ルール遵守の程度によって受容度が左右されていることが示唆される。</w:t>
      </w:r>
    </w:p>
    <w:p>
      <w:pPr>
        <w:pStyle w:val="Heading2"/>
      </w:pPr>
      <w:r>
        <w:t>3.4 相互扶助・組織化</w:t>
      </w:r>
    </w:p>
    <w:p>
      <w:pPr>
        <w:spacing w:after="200"/>
      </w:pPr>
      <w:r>
        <w:rPr>
          <w:rFonts w:ascii="Yu Mincho" w:hAnsi="Yu Mincho" w:eastAsia="游明朝"/>
          <w:sz w:val="22"/>
        </w:rPr>
        <w:t>多くの回答で、露天商間の「助け合い」や「協会・協同組合」といった組織化の存在が確認された。未組織という回答もあるが、協同組合への登録、情報共有（空きスペースの紹介、営業許可の取得助言）、調理等の実務支援など、多様な互助が語られている。RT/RWやMSME（中小零細企業）の枠組みと接続する事例もあり、ネットワークは経済活動の安定化・ルール遵守の内生的動機付けに資する可能性がある。</w:t>
      </w:r>
    </w:p>
    <w:p>
      <w:pPr>
        <w:pStyle w:val="Heading2"/>
      </w:pPr>
      <w:r>
        <w:t>3.5 支援ニーズ（政策需要）</w:t>
      </w:r>
    </w:p>
    <w:p>
      <w:pPr>
        <w:spacing w:after="200"/>
      </w:pPr>
      <w:r>
        <w:rPr>
          <w:rFonts w:ascii="Yu Mincho" w:hAnsi="Yu Mincho" w:eastAsia="游明朝"/>
          <w:sz w:val="22"/>
        </w:rPr>
        <w:t>支援要望は大きく（1）場所の提供（よく組織された取引スペース、立ち退きの抑制）、（2）インフラ整備（電気・水・道路）、（3）法制度・許可の明確化と簡素化、（4）住宅・福祉支援、（5）資金・融資等の金融アクセス、（6）雇用機会の創出、に整理できる。複数の回答で「適切な場所の整備」「資金注入」「現金援助」「適切な住宅」への需要が明確に表明され、空間計画・福祉・金融を束ねた総合的包摂策の必要が示された。</w:t>
      </w:r>
    </w:p>
    <w:p>
      <w:pPr>
        <w:pStyle w:val="Heading1"/>
      </w:pPr>
      <w:r>
        <w:t>第四章　考察：秩序ある共存に向けた制度設計</w:t>
      </w:r>
    </w:p>
    <w:p>
      <w:pPr>
        <w:pStyle w:val="Heading2"/>
      </w:pPr>
      <w:r>
        <w:t>4.1 段階的許可制度（Graduated Permitting）</w:t>
      </w:r>
    </w:p>
    <w:p>
      <w:pPr>
        <w:spacing w:after="200"/>
      </w:pPr>
      <w:r>
        <w:rPr>
          <w:rFonts w:ascii="Yu Mincho" w:hAnsi="Yu Mincho" w:eastAsia="游明朝"/>
          <w:sz w:val="22"/>
        </w:rPr>
        <w:t>許可・登録の“有／無／移行中”が併存する状況では、二値的な適法／違法の切断は現実的でない。新規参入や極小規模事業者には簡易許可（試験的許可／限定区域許可）を付与し、衛生・交通・騒音等の基本ルール遵守を条件にフル許可へ段階移行する仕組みが望ましい。協同組合加入やRT/RW承認等を「遵守担保の代理指標」として位置づけることで、行政のモニタリング負荷を低減し、露天商側の内発的統治を活用できる。</w:t>
      </w:r>
    </w:p>
    <w:p>
      <w:pPr>
        <w:pStyle w:val="Heading2"/>
      </w:pPr>
      <w:r>
        <w:t>4.2 空間計画：指定スペースと時間分割</w:t>
      </w:r>
    </w:p>
    <w:p>
      <w:pPr>
        <w:spacing w:after="200"/>
      </w:pPr>
      <w:r>
        <w:rPr>
          <w:rFonts w:ascii="Yu Mincho" w:hAnsi="Yu Mincho" w:eastAsia="游明朝"/>
          <w:sz w:val="22"/>
        </w:rPr>
        <w:t>社会的受容は場所・時間に強く依存する。歩行者動線・交通ボトルネック・住宅との距離を踏まえ、（1）常設ゾーン（衛生設備・電力・廃棄物処理を備えた小規模市場）、（2）時間帯限定ゾーン（通勤ピークと干渉しない時間分割）、を組み合わせる。混雑・衛生に関するクレームを最小化しつつ、露天商の便益（集客・アクセス）を確保できる。</w:t>
      </w:r>
    </w:p>
    <w:p>
      <w:pPr>
        <w:pStyle w:val="Heading2"/>
      </w:pPr>
      <w:r>
        <w:t>4.3 共同ガバナンス：協同組合×行政×地域共同体</w:t>
      </w:r>
    </w:p>
    <w:p>
      <w:pPr>
        <w:spacing w:after="200"/>
      </w:pPr>
      <w:r>
        <w:rPr>
          <w:rFonts w:ascii="Yu Mincho" w:hAnsi="Yu Mincho" w:eastAsia="游明朝"/>
          <w:sz w:val="22"/>
        </w:rPr>
        <w:t>協同組合・業界団体・RT/RWの役割は、入退出管理、衛生・安全教育、相互監視、紛争調停、場所割り当て、違反時の段階的是正（警告→一時停止→資格剝奪）など、多岐にわたる。行政（市・Satpol PP）と定例協議体を設け、指標（苦情件数、清掃回数、交通障害の発生頻度、事故・衛生インシデント等）を共有し、改善PDCAを回す。これにより、「見せしめ的強制排除」から「遵守ベースの包摂」への転換が可能となる。</w:t>
      </w:r>
    </w:p>
    <w:p>
      <w:pPr>
        <w:pStyle w:val="Heading2"/>
      </w:pPr>
      <w:r>
        <w:t>4.4 包摂的支援パッケージ：福祉・金融・能力構築</w:t>
      </w:r>
    </w:p>
    <w:p>
      <w:pPr>
        <w:spacing w:after="200"/>
      </w:pPr>
      <w:r>
        <w:rPr>
          <w:rFonts w:ascii="Yu Mincho" w:hAnsi="Yu Mincho" w:eastAsia="游明朝"/>
          <w:sz w:val="22"/>
        </w:rPr>
        <w:t>支援ニーズの上位に「場所」「資金」「住宅」が挙がる点から、空間・金融・福祉を束ねた支援が有効である。具体的には、（1）場所：給排水・電力・廃棄物管理を備えたミニ・ハブの整備、（2）金融：マイクロクレジットや協同組合を介した相互保証付融資、（3）住宅：脆弱世帯の居住支援と就労支援の連動、（4）能力構築：衛生・食品安全・簡易会計・デジタル決済の研修、といったメニューを「協同組合の担保力」と組み合わせて運用する。これらはILOが示す「インフォーマルのフォーマル化（formalization）」の段階的実装としても整合的である。</w:t>
      </w:r>
    </w:p>
    <w:p>
      <w:pPr>
        <w:pStyle w:val="Heading2"/>
      </w:pPr>
      <w:r>
        <w:t>4.5 本研究の限界</w:t>
      </w:r>
    </w:p>
    <w:p>
      <w:pPr>
        <w:spacing w:after="200"/>
      </w:pPr>
      <w:r>
        <w:rPr>
          <w:rFonts w:ascii="Yu Mincho" w:hAnsi="Yu Mincho" w:eastAsia="游明朝"/>
          <w:sz w:val="22"/>
        </w:rPr>
        <w:t>本調査は翻訳機を介した即時的な応答も含み、回答の曖昧さ・重複・文脈欠落が一部認められる。また、サンプルは都市内の限定地域に偏っている可能性がある。したがって、量的設計（標本設計・信頼区間）、地域別比較、季節性の統制、時間帯別観察などを追加して結果の頑健性を検証する必要がある。</w:t>
      </w:r>
    </w:p>
    <w:p>
      <w:pPr>
        <w:pStyle w:val="Heading1"/>
      </w:pPr>
      <w:r>
        <w:t>第五章　結論</w:t>
      </w:r>
    </w:p>
    <w:p>
      <w:pPr>
        <w:spacing w:after="200"/>
      </w:pPr>
      <w:r>
        <w:rPr>
          <w:rFonts w:ascii="Yu Mincho" w:hAnsi="Yu Mincho" w:eastAsia="游明朝"/>
          <w:sz w:val="22"/>
        </w:rPr>
        <w:t>本研究は、インドネシア都市部の露天商に関する現地インタビューから、（1）許可・登録へのアクセスが分岐し、（2）取り締まり経験は地域や場面で不均一、（3）社会的受容は条件依存であり、（4）相互扶助ネットワークが広く機能し、（5）「場所・資金・住宅・法制度」の複合的支援需要が強い――という5点を明らかにした。これらの知見は、露天商を「規制対象」から「都市の社会経済機能の一部」へと再定位し、「段階的許可＋空間設計＋共同ガバナンス＋包摂的支援パッケージ」という組み合わせで、外部性の管理と生計の安定を同時に追求する政策設計が有効であることを示唆する。</w:t>
      </w:r>
    </w:p>
    <w:p>
      <w:pPr>
        <w:spacing w:after="200"/>
      </w:pPr>
      <w:r>
        <w:rPr>
          <w:rFonts w:ascii="Yu Mincho" w:hAnsi="Yu Mincho" w:eastAsia="游明朝"/>
          <w:sz w:val="22"/>
        </w:rPr>
        <w:t>政策的含意としては、（i）新規・小規模向けの簡易許可からフル許可へ移行する段階制度、（ii）衛生・交通のルールに基づく常設／時間帯限定ゾーンの併用、（iii）協同組合・RT/RW・行政の三者協働による遵守・仲裁・場所割当の内生化、（iv）マイクロ金融・住宅・能力構築を束ねた支援の実装、が挙げられる。これらは既存研究の理論的示唆（Bromley 2000; Cross 2000; Bhowmik 2005; ILO 2018; Kusno 2013）と整合的であり、都市住民の利便性と公共秩序の両立に資する「秩序ある共存」の現実的ルートである。</w:t>
      </w:r>
    </w:p>
    <w:p>
      <w:pPr>
        <w:spacing w:after="200"/>
      </w:pPr>
      <w:r>
        <w:rPr>
          <w:rFonts w:ascii="Yu Mincho" w:hAnsi="Yu Mincho" w:eastAsia="游明朝"/>
          <w:sz w:val="22"/>
        </w:rPr>
        <w:t>今後の課題は、話者単位の厳密なデータ構造化と量的検証の拡充、地区別の制度差・ネットワーク差の同定、時系列でのフォローアップである。これにより、政策介入の効果測定（衛生・交通・収入安定・苦情件数の推移等）を通じて、最適な制度パッケージの設計が可能になるだろう。</w:t>
      </w:r>
    </w:p>
    <w:p>
      <w:pPr>
        <w:pStyle w:val="Heading1"/>
      </w:pPr>
      <w:r>
        <w:t>参考文献（実在確認済み）</w:t>
      </w:r>
    </w:p>
    <w:p>
      <w:pPr>
        <w:spacing w:after="120"/>
      </w:pPr>
      <w:r>
        <w:rPr>
          <w:rFonts w:ascii="Yu Mincho" w:hAnsi="Yu Mincho" w:eastAsia="游明朝"/>
          <w:sz w:val="22"/>
        </w:rPr>
        <w:t>・Basudeb K. Bhowmik (2005). “Street Vendors in Asia: A Review.” Economic and Political Weekly, 40(22/23), 2256–2264.</w:t>
      </w:r>
    </w:p>
    <w:p>
      <w:pPr>
        <w:spacing w:after="120"/>
      </w:pPr>
      <w:r>
        <w:rPr>
          <w:rFonts w:ascii="Yu Mincho" w:hAnsi="Yu Mincho" w:eastAsia="游明朝"/>
          <w:sz w:val="22"/>
        </w:rPr>
        <w:t>・Robert Bromley (2000). “Street Vending and Public Policy: A Global Review.” International Journal of Sociology and Social Policy, 20(1/2), 1–28.</w:t>
      </w:r>
    </w:p>
    <w:p>
      <w:pPr>
        <w:spacing w:after="120"/>
      </w:pPr>
      <w:r>
        <w:rPr>
          <w:rFonts w:ascii="Yu Mincho" w:hAnsi="Yu Mincho" w:eastAsia="游明朝"/>
          <w:sz w:val="22"/>
        </w:rPr>
        <w:t>・John Cross (2000). “Street Vendors, Modernity and Postmodernity: Conflict and Compromise in the Global Economy.” International Journal of Sociology and Social Policy, 20(1/2), 29–51.</w:t>
      </w:r>
    </w:p>
    <w:p>
      <w:pPr>
        <w:spacing w:after="120"/>
      </w:pPr>
      <w:r>
        <w:rPr>
          <w:rFonts w:ascii="Yu Mincho" w:hAnsi="Yu Mincho" w:eastAsia="游明朝"/>
          <w:sz w:val="22"/>
        </w:rPr>
        <w:t>・International Labour Organization (2018). Women and Men in the Informal Economy: A Statistical Picture (3rd ed.). Geneva: ILO.</w:t>
      </w:r>
    </w:p>
    <w:p>
      <w:pPr>
        <w:spacing w:after="120"/>
      </w:pPr>
      <w:r>
        <w:rPr>
          <w:rFonts w:ascii="Yu Mincho" w:hAnsi="Yu Mincho" w:eastAsia="游明朝"/>
          <w:sz w:val="22"/>
        </w:rPr>
        <w:t>・Abidin Kusno (2013). After the New Order: Space, Politics and Jakarta. Honolulu: University of Hawai‘i Press.</w:t>
      </w:r>
    </w:p>
    <w:p>
      <w:pPr>
        <w:spacing w:after="120"/>
      </w:pPr>
      <w:r>
        <w:rPr>
          <w:rFonts w:ascii="Yu Mincho" w:hAnsi="Yu Mincho" w:eastAsia="游明朝"/>
          <w:sz w:val="22"/>
        </w:rPr>
        <w:t>・相津 七海・嶋 紀久（2016）「ジョグジャカルタ・マリオボロ通りにおける屋台商の営業実態とストリート空間の利活用に関する研究」『都市計画論文集』51(3): 1197–1204. DOI:10.11361/journalcpij.51.1197</w:t>
      </w:r>
    </w:p>
    <w:p>
      <w:pPr>
        <w:spacing w:after="120"/>
      </w:pPr>
      <w:r>
        <w:rPr>
          <w:rFonts w:ascii="Yu Mincho" w:hAnsi="Yu Mincho" w:eastAsia="游明朝"/>
          <w:sz w:val="22"/>
        </w:rPr>
        <w:t>・坪井 善道・北野 幸樹・渡邉 佳英・秋山 慎之介・渡邊 貞文（2010）「タイ・バンコクの街路空間利用形態に関する研究—スクンビット地区における屋台・露店の設置状況調査を通して—」『日本建築学会計画系論文集』75(647): 93–102. DOI:10.3130/aija.75.93</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インドネシア都市部における露天商の社会的役割と課題：現地インタビューに基づく考察</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