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2C121" w14:textId="32AC65E3" w:rsidR="003C429B" w:rsidRPr="003C429B" w:rsidRDefault="003C429B" w:rsidP="003C429B">
      <w:pPr>
        <w:rPr>
          <w:color w:val="FF0000"/>
        </w:rPr>
      </w:pPr>
      <w:r w:rsidRPr="003C429B">
        <w:rPr>
          <w:rFonts w:hint="eastAsia"/>
          <w:color w:val="FF0000"/>
        </w:rPr>
        <w:t>「肌が活きる」「肌と生きる」</w:t>
      </w:r>
    </w:p>
    <w:p w14:paraId="2DBDB540" w14:textId="1A52BCCC" w:rsidR="003C429B" w:rsidRPr="003C429B" w:rsidRDefault="003C429B" w:rsidP="003C429B">
      <w:pPr>
        <w:rPr>
          <w:color w:val="FF0000"/>
        </w:rPr>
      </w:pPr>
      <w:r w:rsidRPr="003C429B">
        <w:rPr>
          <w:rFonts w:hint="eastAsia"/>
          <w:color w:val="FF0000"/>
        </w:rPr>
        <w:t>肌環境を第一に考えた化粧品とスキンケアで忘れかけてきた地球との関係を取り戻します。</w:t>
      </w:r>
    </w:p>
    <w:p w14:paraId="45A9468B" w14:textId="53195B71" w:rsidR="003C429B" w:rsidRPr="00B25970" w:rsidRDefault="003C429B" w:rsidP="003C429B">
      <w:pPr>
        <w:rPr>
          <w:color w:val="FF0000"/>
        </w:rPr>
      </w:pPr>
      <w:r w:rsidRPr="00B25970">
        <w:rPr>
          <w:rFonts w:hint="eastAsia"/>
          <w:color w:val="FF0000"/>
        </w:rPr>
        <w:t>妥協のない代替することが出来ない商品とサービスをうみだし続けます。</w:t>
      </w:r>
    </w:p>
    <w:p w14:paraId="7A83D039" w14:textId="79BB994C" w:rsidR="003C429B" w:rsidRPr="003C429B" w:rsidRDefault="003C429B" w:rsidP="003C429B">
      <w:r w:rsidRPr="003C429B">
        <w:rPr>
          <w:rFonts w:hint="eastAsia"/>
        </w:rPr>
        <w:t>女性の持つ美しさへの希求が、肌環境に対する意識の変革とともに地球環境をより良く変えてくことを信じ、その想いに応えます。</w:t>
      </w:r>
    </w:p>
    <w:p w14:paraId="2DD8022F" w14:textId="777EDD93" w:rsidR="003C429B" w:rsidRDefault="003C429B" w:rsidP="003C429B">
      <w:r w:rsidRPr="003C429B">
        <w:rPr>
          <w:rFonts w:hint="eastAsia"/>
        </w:rPr>
        <w:t>先人から受け継いだ想いをこの先に必要とされる形へ結晶化します。</w:t>
      </w:r>
    </w:p>
    <w:p w14:paraId="5907558D" w14:textId="77777777" w:rsidR="001F0020" w:rsidRPr="003C429B" w:rsidRDefault="001F0020" w:rsidP="003C429B"/>
    <w:tbl>
      <w:tblPr>
        <w:tblW w:w="10920" w:type="dxa"/>
        <w:tblCellMar>
          <w:left w:w="0" w:type="dxa"/>
          <w:right w:w="0" w:type="dxa"/>
        </w:tblCellMar>
        <w:tblLook w:val="0420" w:firstRow="1" w:lastRow="0" w:firstColumn="0" w:lastColumn="0" w:noHBand="0" w:noVBand="1"/>
      </w:tblPr>
      <w:tblGrid>
        <w:gridCol w:w="3640"/>
        <w:gridCol w:w="3640"/>
        <w:gridCol w:w="3640"/>
      </w:tblGrid>
      <w:tr w:rsidR="003C429B" w:rsidRPr="003C429B" w14:paraId="0E0C9435" w14:textId="77777777" w:rsidTr="003C429B">
        <w:trPr>
          <w:trHeight w:val="584"/>
        </w:trPr>
        <w:tc>
          <w:tcPr>
            <w:tcW w:w="3640" w:type="dxa"/>
            <w:tcBorders>
              <w:top w:val="nil"/>
              <w:left w:val="nil"/>
              <w:bottom w:val="nil"/>
              <w:right w:val="nil"/>
            </w:tcBorders>
            <w:shd w:val="clear" w:color="auto" w:fill="auto"/>
            <w:tcMar>
              <w:top w:w="72" w:type="dxa"/>
              <w:left w:w="144" w:type="dxa"/>
              <w:bottom w:w="72" w:type="dxa"/>
              <w:right w:w="144" w:type="dxa"/>
            </w:tcMar>
            <w:hideMark/>
          </w:tcPr>
          <w:p w14:paraId="44D29840" w14:textId="05116CB9" w:rsidR="003C429B" w:rsidRPr="003C429B" w:rsidRDefault="003C429B" w:rsidP="003C429B">
            <w:r w:rsidRPr="003C429B">
              <w:rPr>
                <w:rFonts w:hint="eastAsia"/>
              </w:rPr>
              <w:t>溶剤抽出原料、遺伝子組み換え植物、防腐剤などのキャリーオーバー成分を含め、肌機能を損ねる可能性がある成分は使わず、自然農法やオーガニックの素材、また研究分野で開発される肌との親和性が高い原料を基準に採用・調達しています。</w:t>
            </w:r>
          </w:p>
        </w:tc>
        <w:tc>
          <w:tcPr>
            <w:tcW w:w="3640" w:type="dxa"/>
            <w:tcBorders>
              <w:top w:val="nil"/>
              <w:left w:val="nil"/>
              <w:bottom w:val="nil"/>
              <w:right w:val="nil"/>
            </w:tcBorders>
            <w:shd w:val="clear" w:color="auto" w:fill="auto"/>
            <w:tcMar>
              <w:top w:w="72" w:type="dxa"/>
              <w:left w:w="144" w:type="dxa"/>
              <w:bottom w:w="72" w:type="dxa"/>
              <w:right w:w="144" w:type="dxa"/>
            </w:tcMar>
            <w:hideMark/>
          </w:tcPr>
          <w:p w14:paraId="5E27B48D" w14:textId="66AF3791" w:rsidR="003C429B" w:rsidRPr="003C429B" w:rsidRDefault="003C429B" w:rsidP="003C429B">
            <w:r w:rsidRPr="003C429B">
              <w:rPr>
                <w:rFonts w:hint="eastAsia"/>
              </w:rPr>
              <w:t>原料調達基準と同様に生体に負荷を与えるアルコール、防腐剤、抗菌剤、抗炎症剤、ナノ化物質不使用など、“７つのフリー“の独自規格を設定。横浜の自社工場で需要に応じた柔軟な生産体制を構築することで、お客様に製造後1か月以内を基準としたフレッシュな化粧品をお届けしています。</w:t>
            </w:r>
          </w:p>
        </w:tc>
        <w:tc>
          <w:tcPr>
            <w:tcW w:w="3640" w:type="dxa"/>
            <w:tcBorders>
              <w:top w:val="nil"/>
              <w:left w:val="nil"/>
              <w:bottom w:val="nil"/>
              <w:right w:val="nil"/>
            </w:tcBorders>
            <w:shd w:val="clear" w:color="auto" w:fill="auto"/>
            <w:tcMar>
              <w:top w:w="72" w:type="dxa"/>
              <w:left w:w="144" w:type="dxa"/>
              <w:bottom w:w="72" w:type="dxa"/>
              <w:right w:w="144" w:type="dxa"/>
            </w:tcMar>
            <w:hideMark/>
          </w:tcPr>
          <w:p w14:paraId="3446753E" w14:textId="6AF3B5E0" w:rsidR="003C429B" w:rsidRPr="003C429B" w:rsidRDefault="003C429B" w:rsidP="003C429B">
            <w:r w:rsidRPr="003C429B">
              <w:rPr>
                <w:rFonts w:hint="eastAsia"/>
              </w:rPr>
              <w:t>肌に負担がない化粧品を選択しても、使い方を間違えてしまうと効果が半減。</w:t>
            </w:r>
            <w:r w:rsidRPr="003C429B">
              <w:rPr>
                <w:rFonts w:hint="eastAsia"/>
              </w:rPr>
              <w:br/>
              <w:t>使うほどに効果を感じてもらえる、そんな体感が得られるよう、オンラインでの個別カウンセリングをはじめ、独自発信のコラムやテクニカルなカタログなど趣向を凝らしたチャレンジを通し期待に応えていきます。</w:t>
            </w:r>
          </w:p>
        </w:tc>
      </w:tr>
      <w:tr w:rsidR="003C429B" w:rsidRPr="003C429B" w14:paraId="2F62A9D2" w14:textId="77777777" w:rsidTr="003C429B">
        <w:trPr>
          <w:trHeight w:val="584"/>
        </w:trPr>
        <w:tc>
          <w:tcPr>
            <w:tcW w:w="3640" w:type="dxa"/>
            <w:tcBorders>
              <w:top w:val="nil"/>
              <w:left w:val="nil"/>
              <w:bottom w:val="nil"/>
              <w:right w:val="nil"/>
            </w:tcBorders>
            <w:shd w:val="clear" w:color="auto" w:fill="auto"/>
            <w:tcMar>
              <w:top w:w="72" w:type="dxa"/>
              <w:left w:w="144" w:type="dxa"/>
              <w:bottom w:w="72" w:type="dxa"/>
              <w:right w:w="144" w:type="dxa"/>
            </w:tcMar>
            <w:hideMark/>
          </w:tcPr>
          <w:p w14:paraId="04D3B4B8" w14:textId="2E40FBBF" w:rsidR="003C429B" w:rsidRPr="003C429B" w:rsidRDefault="003C429B" w:rsidP="003C429B">
            <w:r w:rsidRPr="003C429B">
              <w:rPr>
                <w:rFonts w:hint="eastAsia"/>
              </w:rPr>
              <w:t>過剰な広告や流通の為の在庫は結果として必要以上の生産と売れ残りを生み出します</w:t>
            </w:r>
            <w:r>
              <w:rPr>
                <w:rFonts w:hint="eastAsia"/>
              </w:rPr>
              <w:t>。</w:t>
            </w:r>
            <w:r w:rsidRPr="003C429B">
              <w:br/>
              <w:t xml:space="preserve">D2C </w:t>
            </w:r>
            <w:r w:rsidRPr="003C429B">
              <w:rPr>
                <w:rFonts w:hint="eastAsia"/>
              </w:rPr>
              <w:t>取引と、肌の専門家であるエステサロンを通した販売は、お客様の真の声を商品開発に取り入れやすく、またニーズに合わせた柔軟な</w:t>
            </w:r>
          </w:p>
          <w:p w14:paraId="48C89A96" w14:textId="77777777" w:rsidR="003C429B" w:rsidRPr="003C429B" w:rsidRDefault="003C429B" w:rsidP="003C429B">
            <w:r w:rsidRPr="003C429B">
              <w:rPr>
                <w:rFonts w:hint="eastAsia"/>
              </w:rPr>
              <w:t>生産計画により商品廃棄ゼロに貢献しています。</w:t>
            </w:r>
          </w:p>
        </w:tc>
        <w:tc>
          <w:tcPr>
            <w:tcW w:w="3640" w:type="dxa"/>
            <w:tcBorders>
              <w:top w:val="nil"/>
              <w:left w:val="nil"/>
              <w:bottom w:val="nil"/>
              <w:right w:val="nil"/>
            </w:tcBorders>
            <w:shd w:val="clear" w:color="auto" w:fill="auto"/>
            <w:tcMar>
              <w:top w:w="72" w:type="dxa"/>
              <w:left w:w="144" w:type="dxa"/>
              <w:bottom w:w="72" w:type="dxa"/>
              <w:right w:w="144" w:type="dxa"/>
            </w:tcMar>
            <w:hideMark/>
          </w:tcPr>
          <w:p w14:paraId="52DF389E" w14:textId="11DB02E9" w:rsidR="003C429B" w:rsidRPr="003C429B" w:rsidRDefault="003C429B" w:rsidP="003C429B">
            <w:r w:rsidRPr="003C429B">
              <w:rPr>
                <w:rFonts w:hint="eastAsia"/>
              </w:rPr>
              <w:t>製品は防腐剤・アルコール等の環境への影響を及ぼす物質、合成ポリマー類などの分解性の低い化学物質を一切含まないため、使用時・使用後において環境へ流れ出ても地球にやさしいものとなっています。</w:t>
            </w:r>
          </w:p>
        </w:tc>
        <w:tc>
          <w:tcPr>
            <w:tcW w:w="3640" w:type="dxa"/>
            <w:tcBorders>
              <w:top w:val="nil"/>
              <w:left w:val="nil"/>
              <w:bottom w:val="nil"/>
              <w:right w:val="nil"/>
            </w:tcBorders>
            <w:shd w:val="clear" w:color="auto" w:fill="auto"/>
            <w:tcMar>
              <w:top w:w="72" w:type="dxa"/>
              <w:left w:w="144" w:type="dxa"/>
              <w:bottom w:w="72" w:type="dxa"/>
              <w:right w:w="144" w:type="dxa"/>
            </w:tcMar>
            <w:hideMark/>
          </w:tcPr>
          <w:p w14:paraId="588BF437" w14:textId="545477AF" w:rsidR="003C429B" w:rsidRPr="003C429B" w:rsidRDefault="003C429B" w:rsidP="003C429B">
            <w:r w:rsidRPr="003C429B">
              <w:rPr>
                <w:rFonts w:hint="eastAsia"/>
              </w:rPr>
              <w:t>リサイクル出来る素材を使った容器を採用（サンプル用の容器を除く）、店舗での回収を実施しています。</w:t>
            </w:r>
          </w:p>
          <w:p w14:paraId="4E0EF891" w14:textId="20A6262C" w:rsidR="003C429B" w:rsidRPr="003C429B" w:rsidRDefault="003C429B" w:rsidP="003C429B">
            <w:r w:rsidRPr="003C429B">
              <w:rPr>
                <w:rFonts w:hint="eastAsia"/>
              </w:rPr>
              <w:t>また使用済みの容器を再利用した、ヘアケア製品を今秋リリースし、近隣エリアの皆様へのご提供を開始しています（横浜、湘南、鎌倉地区）。</w:t>
            </w:r>
          </w:p>
        </w:tc>
      </w:tr>
      <w:tr w:rsidR="003C429B" w:rsidRPr="003C429B" w14:paraId="6C6E9C1D" w14:textId="77777777" w:rsidTr="003C429B">
        <w:trPr>
          <w:trHeight w:val="584"/>
        </w:trPr>
        <w:tc>
          <w:tcPr>
            <w:tcW w:w="3640" w:type="dxa"/>
            <w:tcBorders>
              <w:top w:val="nil"/>
              <w:left w:val="nil"/>
              <w:bottom w:val="nil"/>
              <w:right w:val="nil"/>
            </w:tcBorders>
            <w:shd w:val="clear" w:color="auto" w:fill="auto"/>
            <w:tcMar>
              <w:top w:w="72" w:type="dxa"/>
              <w:left w:w="144" w:type="dxa"/>
              <w:bottom w:w="72" w:type="dxa"/>
              <w:right w:w="144" w:type="dxa"/>
            </w:tcMar>
            <w:hideMark/>
          </w:tcPr>
          <w:p w14:paraId="4CA37FF7" w14:textId="77777777" w:rsidR="003C429B" w:rsidRPr="003C429B" w:rsidRDefault="003C429B" w:rsidP="003C429B">
            <w:r w:rsidRPr="003C429B">
              <w:rPr>
                <w:rFonts w:hint="eastAsia"/>
              </w:rPr>
              <w:t>国内産原料・国内産容器を基本とした安定した無駄の少ないサプライチェーンを構築することで環境負荷を低減するとともに、国内では調達が困難な原料に関しては、ガーナ</w:t>
            </w:r>
            <w:r w:rsidRPr="003C429B">
              <w:t>―</w:t>
            </w:r>
            <w:r w:rsidRPr="003C429B">
              <w:rPr>
                <w:rFonts w:hint="eastAsia"/>
              </w:rPr>
              <w:t>の未精錬シアバターなどフェアトレード原料を積極的に採用することで、グローバルな視点での地域貢献もおこなっています。</w:t>
            </w:r>
          </w:p>
        </w:tc>
        <w:tc>
          <w:tcPr>
            <w:tcW w:w="3640" w:type="dxa"/>
            <w:tcBorders>
              <w:top w:val="nil"/>
              <w:left w:val="nil"/>
              <w:bottom w:val="nil"/>
              <w:right w:val="nil"/>
            </w:tcBorders>
            <w:shd w:val="clear" w:color="auto" w:fill="auto"/>
            <w:tcMar>
              <w:top w:w="72" w:type="dxa"/>
              <w:left w:w="144" w:type="dxa"/>
              <w:bottom w:w="72" w:type="dxa"/>
              <w:right w:w="144" w:type="dxa"/>
            </w:tcMar>
            <w:hideMark/>
          </w:tcPr>
          <w:p w14:paraId="377102E5" w14:textId="7F39FB58" w:rsidR="003C429B" w:rsidRPr="003C429B" w:rsidRDefault="003C429B" w:rsidP="003C429B">
            <w:r w:rsidRPr="003C429B">
              <w:rPr>
                <w:rFonts w:hint="eastAsia"/>
              </w:rPr>
              <w:t>お母さんが使うものを見て子供達は育ちます。肌を健やかに美しく保つにはどうすればよいのか、どういう基準で選ぶのか。女の子が初めてメイクやスキンケアをするときにより良い選択ができるよう、開発者自らその想いを発信しています。</w:t>
            </w:r>
            <w:r w:rsidRPr="003C429B">
              <w:rPr>
                <w:rFonts w:hint="eastAsia"/>
              </w:rPr>
              <w:br/>
              <w:t>「べびまゆ」「いぬまゆ」の両シリーズはそれをかたちにした取組みのひとつです。</w:t>
            </w:r>
          </w:p>
        </w:tc>
        <w:tc>
          <w:tcPr>
            <w:tcW w:w="3640" w:type="dxa"/>
            <w:tcBorders>
              <w:top w:val="nil"/>
              <w:left w:val="nil"/>
              <w:bottom w:val="nil"/>
              <w:right w:val="nil"/>
            </w:tcBorders>
            <w:shd w:val="clear" w:color="auto" w:fill="auto"/>
            <w:tcMar>
              <w:top w:w="72" w:type="dxa"/>
              <w:left w:w="144" w:type="dxa"/>
              <w:bottom w:w="72" w:type="dxa"/>
              <w:right w:w="144" w:type="dxa"/>
            </w:tcMar>
            <w:hideMark/>
          </w:tcPr>
          <w:p w14:paraId="0588CEB5" w14:textId="0A948834" w:rsidR="003C429B" w:rsidRPr="003C429B" w:rsidRDefault="003C429B" w:rsidP="003C429B">
            <w:r w:rsidRPr="003C429B">
              <w:rPr>
                <w:rFonts w:hint="eastAsia"/>
              </w:rPr>
              <w:t>肌への影響はもちろんのこと、環境への配慮も徹底的に追い求めた”サステナブルな化粧品”と、それを使った”スキンケア方法”を、</w:t>
            </w:r>
            <w:r w:rsidRPr="003C429B">
              <w:br/>
            </w:r>
            <w:r w:rsidRPr="003C429B">
              <w:rPr>
                <w:rFonts w:hint="eastAsia"/>
              </w:rPr>
              <w:t>横浜・鎌倉・湘南エリアの子育て世代の女性の力を借りて発信。　　　　　　　　　　　　　　　　　大量生産の商品では実現できなかった新しいライフスタイルと価値観の醸成を進めています。</w:t>
            </w:r>
          </w:p>
        </w:tc>
      </w:tr>
    </w:tbl>
    <w:p w14:paraId="28AE10AD" w14:textId="2CF4EC9A" w:rsidR="009B7F42" w:rsidRDefault="009B7F42" w:rsidP="003C429B"/>
    <w:p w14:paraId="4B258A50" w14:textId="7A380C01" w:rsidR="003C2D93" w:rsidRDefault="003C2D93" w:rsidP="003C429B"/>
    <w:p w14:paraId="5331869C" w14:textId="2E05FF71" w:rsidR="003C2D93" w:rsidRDefault="003C2D93" w:rsidP="003C429B"/>
    <w:p w14:paraId="372553B0" w14:textId="72F8313C" w:rsidR="003C2D93" w:rsidRDefault="003C2D93" w:rsidP="003C429B"/>
    <w:p w14:paraId="43820AED" w14:textId="77777777" w:rsidR="001F0020" w:rsidRPr="001F0020" w:rsidRDefault="001F0020" w:rsidP="001F0020">
      <w:r w:rsidRPr="001F0020">
        <w:rPr>
          <w:rFonts w:hint="eastAsia"/>
        </w:rPr>
        <w:t>お客様への３つのお約束と、</w:t>
      </w:r>
      <w:r w:rsidRPr="001F0020">
        <w:t>2025</w:t>
      </w:r>
      <w:r w:rsidRPr="001F0020">
        <w:rPr>
          <w:rFonts w:hint="eastAsia"/>
        </w:rPr>
        <w:t>年までに実現する</w:t>
      </w:r>
      <w:r w:rsidRPr="001F0020">
        <w:t>6</w:t>
      </w:r>
      <w:r w:rsidRPr="001F0020">
        <w:rPr>
          <w:rFonts w:hint="eastAsia"/>
        </w:rPr>
        <w:t>つの目標</w:t>
      </w:r>
    </w:p>
    <w:p w14:paraId="3685BBCA" w14:textId="77777777" w:rsidR="001F0020" w:rsidRPr="001F0020" w:rsidRDefault="001F0020" w:rsidP="003C429B"/>
    <w:tbl>
      <w:tblPr>
        <w:tblW w:w="11202" w:type="dxa"/>
        <w:tblCellMar>
          <w:left w:w="0" w:type="dxa"/>
          <w:right w:w="0" w:type="dxa"/>
        </w:tblCellMar>
        <w:tblLook w:val="0420" w:firstRow="1" w:lastRow="0" w:firstColumn="0" w:lastColumn="0" w:noHBand="0" w:noVBand="1"/>
      </w:tblPr>
      <w:tblGrid>
        <w:gridCol w:w="3734"/>
        <w:gridCol w:w="3734"/>
        <w:gridCol w:w="3734"/>
      </w:tblGrid>
      <w:tr w:rsidR="00457BF8" w:rsidRPr="003C429B" w14:paraId="37A16166" w14:textId="77777777" w:rsidTr="00457BF8">
        <w:tc>
          <w:tcPr>
            <w:tcW w:w="3734" w:type="dxa"/>
            <w:tcBorders>
              <w:top w:val="nil"/>
              <w:left w:val="nil"/>
              <w:bottom w:val="nil"/>
              <w:right w:val="nil"/>
            </w:tcBorders>
            <w:shd w:val="clear" w:color="auto" w:fill="auto"/>
            <w:tcMar>
              <w:top w:w="340" w:type="dxa"/>
              <w:left w:w="144" w:type="dxa"/>
              <w:bottom w:w="397" w:type="dxa"/>
              <w:right w:w="144" w:type="dxa"/>
            </w:tcMar>
            <w:hideMark/>
          </w:tcPr>
          <w:p w14:paraId="0BD0F937" w14:textId="77777777" w:rsidR="00457BF8" w:rsidRPr="003C429B" w:rsidRDefault="00457BF8" w:rsidP="003C429B">
            <w:r w:rsidRPr="003C429B">
              <w:rPr>
                <w:rFonts w:hint="eastAsia"/>
                <w:b/>
                <w:bCs/>
              </w:rPr>
              <w:t>肌にやさしい</w:t>
            </w:r>
          </w:p>
        </w:tc>
        <w:tc>
          <w:tcPr>
            <w:tcW w:w="3734" w:type="dxa"/>
            <w:tcBorders>
              <w:top w:val="nil"/>
              <w:left w:val="nil"/>
              <w:bottom w:val="nil"/>
              <w:right w:val="nil"/>
            </w:tcBorders>
            <w:shd w:val="clear" w:color="auto" w:fill="auto"/>
            <w:tcMar>
              <w:top w:w="340" w:type="dxa"/>
              <w:left w:w="144" w:type="dxa"/>
              <w:bottom w:w="397" w:type="dxa"/>
              <w:right w:w="144" w:type="dxa"/>
            </w:tcMar>
            <w:hideMark/>
          </w:tcPr>
          <w:p w14:paraId="64F7F633" w14:textId="77777777" w:rsidR="00457BF8" w:rsidRPr="003C429B" w:rsidRDefault="00457BF8" w:rsidP="003C429B">
            <w:r w:rsidRPr="003C429B">
              <w:rPr>
                <w:rFonts w:hint="eastAsia"/>
                <w:b/>
                <w:bCs/>
              </w:rPr>
              <w:t>地球にやさしい</w:t>
            </w:r>
          </w:p>
        </w:tc>
        <w:tc>
          <w:tcPr>
            <w:tcW w:w="3734" w:type="dxa"/>
            <w:tcBorders>
              <w:top w:val="nil"/>
              <w:left w:val="nil"/>
              <w:bottom w:val="nil"/>
              <w:right w:val="nil"/>
            </w:tcBorders>
            <w:shd w:val="clear" w:color="auto" w:fill="auto"/>
            <w:tcMar>
              <w:top w:w="340" w:type="dxa"/>
              <w:left w:w="144" w:type="dxa"/>
              <w:bottom w:w="397" w:type="dxa"/>
              <w:right w:w="144" w:type="dxa"/>
            </w:tcMar>
            <w:hideMark/>
          </w:tcPr>
          <w:p w14:paraId="5DE50FF0" w14:textId="77777777" w:rsidR="00457BF8" w:rsidRPr="003C429B" w:rsidRDefault="00457BF8" w:rsidP="003C429B">
            <w:r w:rsidRPr="003C429B">
              <w:rPr>
                <w:rFonts w:hint="eastAsia"/>
                <w:b/>
                <w:bCs/>
              </w:rPr>
              <w:t>社会にやさしい</w:t>
            </w:r>
          </w:p>
        </w:tc>
      </w:tr>
      <w:tr w:rsidR="00457BF8" w:rsidRPr="003C429B" w14:paraId="0541997B" w14:textId="77777777" w:rsidTr="00457BF8">
        <w:trPr>
          <w:trHeight w:val="584"/>
        </w:trPr>
        <w:tc>
          <w:tcPr>
            <w:tcW w:w="3734" w:type="dxa"/>
            <w:tcBorders>
              <w:top w:val="nil"/>
              <w:left w:val="nil"/>
              <w:bottom w:val="nil"/>
              <w:right w:val="nil"/>
            </w:tcBorders>
            <w:shd w:val="clear" w:color="auto" w:fill="auto"/>
            <w:tcMar>
              <w:top w:w="113" w:type="dxa"/>
              <w:left w:w="144" w:type="dxa"/>
              <w:bottom w:w="283" w:type="dxa"/>
              <w:right w:w="144" w:type="dxa"/>
            </w:tcMar>
            <w:hideMark/>
          </w:tcPr>
          <w:p w14:paraId="45225F85" w14:textId="19D54590" w:rsidR="00457BF8" w:rsidRPr="003C429B" w:rsidRDefault="00457BF8" w:rsidP="003C429B">
            <w:r w:rsidRPr="003C429B">
              <w:rPr>
                <w:rFonts w:hint="eastAsia"/>
              </w:rPr>
              <w:t>肌のちからを損なう成分を使わず、人が本来備える肌機能をサポートできる商品づくりをします。</w:t>
            </w:r>
          </w:p>
        </w:tc>
        <w:tc>
          <w:tcPr>
            <w:tcW w:w="3734" w:type="dxa"/>
            <w:tcBorders>
              <w:top w:val="nil"/>
              <w:left w:val="nil"/>
              <w:bottom w:val="nil"/>
              <w:right w:val="nil"/>
            </w:tcBorders>
            <w:shd w:val="clear" w:color="auto" w:fill="auto"/>
            <w:tcMar>
              <w:top w:w="113" w:type="dxa"/>
              <w:left w:w="144" w:type="dxa"/>
              <w:bottom w:w="283" w:type="dxa"/>
              <w:right w:w="144" w:type="dxa"/>
            </w:tcMar>
            <w:hideMark/>
          </w:tcPr>
          <w:p w14:paraId="5C18D738" w14:textId="462DDC4D" w:rsidR="00457BF8" w:rsidRPr="003C429B" w:rsidRDefault="00457BF8" w:rsidP="003C429B">
            <w:r w:rsidRPr="003C429B">
              <w:rPr>
                <w:rFonts w:hint="eastAsia"/>
              </w:rPr>
              <w:t>製品とともに使用する原料が作られる過程、そして使われた後まで、環境への負荷が無いものを選択しています。</w:t>
            </w:r>
          </w:p>
        </w:tc>
        <w:tc>
          <w:tcPr>
            <w:tcW w:w="3734" w:type="dxa"/>
            <w:tcBorders>
              <w:top w:val="nil"/>
              <w:left w:val="nil"/>
              <w:bottom w:val="nil"/>
              <w:right w:val="nil"/>
            </w:tcBorders>
            <w:shd w:val="clear" w:color="auto" w:fill="auto"/>
            <w:tcMar>
              <w:top w:w="113" w:type="dxa"/>
              <w:left w:w="144" w:type="dxa"/>
              <w:bottom w:w="283" w:type="dxa"/>
              <w:right w:w="144" w:type="dxa"/>
            </w:tcMar>
            <w:hideMark/>
          </w:tcPr>
          <w:p w14:paraId="2BF586D0" w14:textId="68695F9F" w:rsidR="00457BF8" w:rsidRPr="003C429B" w:rsidRDefault="00457BF8" w:rsidP="003C429B">
            <w:r w:rsidRPr="003C429B">
              <w:rPr>
                <w:rFonts w:hint="eastAsia"/>
              </w:rPr>
              <w:t>エシカルな原料調達を通じ、ものづくりに関わる全ての人の生活に、そして商品を取り扱う人の幸せに貢献します。</w:t>
            </w:r>
          </w:p>
        </w:tc>
      </w:tr>
      <w:tr w:rsidR="00457BF8" w:rsidRPr="003C429B" w14:paraId="453E1636" w14:textId="77777777" w:rsidTr="00457BF8">
        <w:trPr>
          <w:trHeight w:val="3267"/>
        </w:trPr>
        <w:tc>
          <w:tcPr>
            <w:tcW w:w="3734" w:type="dxa"/>
            <w:tcBorders>
              <w:top w:val="nil"/>
              <w:left w:val="nil"/>
              <w:bottom w:val="nil"/>
              <w:right w:val="nil"/>
            </w:tcBorders>
            <w:shd w:val="clear" w:color="auto" w:fill="auto"/>
            <w:tcMar>
              <w:top w:w="340" w:type="dxa"/>
              <w:left w:w="144" w:type="dxa"/>
              <w:bottom w:w="72" w:type="dxa"/>
              <w:right w:w="144" w:type="dxa"/>
            </w:tcMar>
            <w:hideMark/>
          </w:tcPr>
          <w:p w14:paraId="40A9B4D6" w14:textId="77777777" w:rsidR="003C429B" w:rsidRPr="003C429B" w:rsidRDefault="003C429B" w:rsidP="003C429B">
            <w:pPr>
              <w:numPr>
                <w:ilvl w:val="0"/>
                <w:numId w:val="1"/>
              </w:numPr>
            </w:pPr>
            <w:r w:rsidRPr="003C429B">
              <w:rPr>
                <w:rFonts w:hint="eastAsia"/>
              </w:rPr>
              <w:t>アルコール、防腐剤、抗菌剤、抗炎症剤、ナノ化物質の不使用</w:t>
            </w:r>
          </w:p>
          <w:p w14:paraId="498B5593" w14:textId="79EC46BA" w:rsidR="003C429B" w:rsidRPr="003C429B" w:rsidRDefault="003C429B" w:rsidP="003C429B">
            <w:pPr>
              <w:numPr>
                <w:ilvl w:val="0"/>
                <w:numId w:val="1"/>
              </w:numPr>
            </w:pPr>
            <w:r w:rsidRPr="003C429B">
              <w:rPr>
                <w:rFonts w:hint="eastAsia"/>
              </w:rPr>
              <w:t>キャリーオーバー成分を含め、肌機能を損ねる可能性がある成分を排除</w:t>
            </w:r>
          </w:p>
          <w:p w14:paraId="015ECE75" w14:textId="78625018" w:rsidR="003C429B" w:rsidRPr="003C429B" w:rsidRDefault="003C429B" w:rsidP="003C429B">
            <w:pPr>
              <w:numPr>
                <w:ilvl w:val="0"/>
                <w:numId w:val="1"/>
              </w:numPr>
            </w:pPr>
            <w:r w:rsidRPr="003C429B">
              <w:rPr>
                <w:rFonts w:hint="eastAsia"/>
              </w:rPr>
              <w:t>肌のバリア機能と、皮膚常在菌へのアプローチが</w:t>
            </w:r>
            <w:r w:rsidRPr="003C429B">
              <w:br/>
            </w:r>
            <w:r w:rsidRPr="003C429B">
              <w:rPr>
                <w:rFonts w:hint="eastAsia"/>
              </w:rPr>
              <w:t>できる製品の開発</w:t>
            </w:r>
          </w:p>
        </w:tc>
        <w:tc>
          <w:tcPr>
            <w:tcW w:w="3734" w:type="dxa"/>
            <w:tcBorders>
              <w:top w:val="nil"/>
              <w:left w:val="nil"/>
              <w:bottom w:val="nil"/>
              <w:right w:val="nil"/>
            </w:tcBorders>
            <w:shd w:val="clear" w:color="auto" w:fill="auto"/>
            <w:tcMar>
              <w:top w:w="340" w:type="dxa"/>
              <w:left w:w="144" w:type="dxa"/>
              <w:bottom w:w="72" w:type="dxa"/>
              <w:right w:w="144" w:type="dxa"/>
            </w:tcMar>
            <w:hideMark/>
          </w:tcPr>
          <w:p w14:paraId="37BA41BC" w14:textId="77777777" w:rsidR="003C429B" w:rsidRPr="003C429B" w:rsidRDefault="003C429B" w:rsidP="003C429B">
            <w:pPr>
              <w:numPr>
                <w:ilvl w:val="0"/>
                <w:numId w:val="1"/>
              </w:numPr>
            </w:pPr>
            <w:r w:rsidRPr="003C429B">
              <w:rPr>
                <w:rFonts w:hint="eastAsia"/>
              </w:rPr>
              <w:t>自然農、オーガニックを基準</w:t>
            </w:r>
            <w:r w:rsidRPr="003C429B">
              <w:br/>
            </w:r>
            <w:r w:rsidRPr="003C429B">
              <w:rPr>
                <w:rFonts w:hint="eastAsia"/>
              </w:rPr>
              <w:t>とし環境負荷の少ない原料調達</w:t>
            </w:r>
          </w:p>
          <w:p w14:paraId="7F78935C" w14:textId="0827CCE6" w:rsidR="003C429B" w:rsidRPr="003C429B" w:rsidRDefault="003C429B" w:rsidP="003C429B">
            <w:pPr>
              <w:numPr>
                <w:ilvl w:val="0"/>
                <w:numId w:val="1"/>
              </w:numPr>
            </w:pPr>
            <w:r w:rsidRPr="003C429B">
              <w:rPr>
                <w:rFonts w:hint="eastAsia"/>
              </w:rPr>
              <w:t>溶剤の不使用をはじめとし、製品がつくられる全てのプロセスに配慮</w:t>
            </w:r>
          </w:p>
          <w:p w14:paraId="4FBA32A6" w14:textId="77777777" w:rsidR="003C429B" w:rsidRPr="003C429B" w:rsidRDefault="003C429B" w:rsidP="003C429B">
            <w:pPr>
              <w:numPr>
                <w:ilvl w:val="0"/>
                <w:numId w:val="1"/>
              </w:numPr>
            </w:pPr>
            <w:r w:rsidRPr="003C429B">
              <w:rPr>
                <w:rFonts w:hint="eastAsia"/>
              </w:rPr>
              <w:t>プラスチックの使用を抑えた</w:t>
            </w:r>
            <w:r w:rsidRPr="003C429B">
              <w:br/>
            </w:r>
            <w:r w:rsidRPr="003C429B">
              <w:rPr>
                <w:rFonts w:hint="eastAsia"/>
              </w:rPr>
              <w:t>容器と自然に還る梱包材</w:t>
            </w:r>
          </w:p>
        </w:tc>
        <w:tc>
          <w:tcPr>
            <w:tcW w:w="3734" w:type="dxa"/>
            <w:tcBorders>
              <w:top w:val="nil"/>
              <w:left w:val="nil"/>
              <w:bottom w:val="nil"/>
              <w:right w:val="nil"/>
            </w:tcBorders>
            <w:shd w:val="clear" w:color="auto" w:fill="auto"/>
            <w:tcMar>
              <w:top w:w="340" w:type="dxa"/>
              <w:left w:w="144" w:type="dxa"/>
              <w:bottom w:w="72" w:type="dxa"/>
              <w:right w:w="144" w:type="dxa"/>
            </w:tcMar>
            <w:hideMark/>
          </w:tcPr>
          <w:p w14:paraId="6DBDC549" w14:textId="1DD1342F" w:rsidR="003C429B" w:rsidRPr="003C429B" w:rsidRDefault="003C429B" w:rsidP="003C429B">
            <w:pPr>
              <w:numPr>
                <w:ilvl w:val="0"/>
                <w:numId w:val="1"/>
              </w:numPr>
            </w:pPr>
            <w:r w:rsidRPr="003C429B">
              <w:rPr>
                <w:rFonts w:hint="eastAsia"/>
              </w:rPr>
              <w:t>肌と環境にやさしい商品と、スキンケア知識の発信と啓蒙</w:t>
            </w:r>
          </w:p>
          <w:p w14:paraId="244677FC" w14:textId="44039969" w:rsidR="003C429B" w:rsidRPr="003C429B" w:rsidRDefault="003C429B" w:rsidP="003C429B">
            <w:pPr>
              <w:numPr>
                <w:ilvl w:val="0"/>
                <w:numId w:val="1"/>
              </w:numPr>
            </w:pPr>
            <w:r w:rsidRPr="003C429B">
              <w:rPr>
                <w:rFonts w:hint="eastAsia"/>
              </w:rPr>
              <w:t>肌、身体、心にたいして</w:t>
            </w:r>
            <w:r w:rsidRPr="003C429B">
              <w:br/>
            </w:r>
            <w:r w:rsidRPr="003C429B">
              <w:rPr>
                <w:rFonts w:hint="eastAsia"/>
              </w:rPr>
              <w:t>総合的な知識を持つ美容家の創出を支援</w:t>
            </w:r>
          </w:p>
          <w:p w14:paraId="3E75B8C4" w14:textId="77777777" w:rsidR="003C429B" w:rsidRPr="003C429B" w:rsidRDefault="003C429B" w:rsidP="003C429B">
            <w:pPr>
              <w:numPr>
                <w:ilvl w:val="0"/>
                <w:numId w:val="1"/>
              </w:numPr>
            </w:pPr>
            <w:r w:rsidRPr="003C429B">
              <w:t>SDGs</w:t>
            </w:r>
            <w:r w:rsidRPr="003C429B">
              <w:rPr>
                <w:rFonts w:hint="eastAsia"/>
              </w:rPr>
              <w:t>をベースにした</w:t>
            </w:r>
            <w:r w:rsidRPr="003C429B">
              <w:br/>
            </w:r>
            <w:r w:rsidRPr="003C429B">
              <w:rPr>
                <w:rFonts w:hint="eastAsia"/>
              </w:rPr>
              <w:t>サステナブルなビジネスを推進</w:t>
            </w:r>
          </w:p>
        </w:tc>
      </w:tr>
      <w:tr w:rsidR="00457BF8" w:rsidRPr="003C429B" w14:paraId="6EABCC28" w14:textId="77777777" w:rsidTr="00457BF8">
        <w:trPr>
          <w:trHeight w:val="584"/>
        </w:trPr>
        <w:tc>
          <w:tcPr>
            <w:tcW w:w="3734" w:type="dxa"/>
            <w:tcBorders>
              <w:top w:val="nil"/>
              <w:left w:val="nil"/>
              <w:bottom w:val="nil"/>
              <w:right w:val="nil"/>
            </w:tcBorders>
            <w:shd w:val="clear" w:color="auto" w:fill="auto"/>
            <w:tcMar>
              <w:top w:w="340" w:type="dxa"/>
              <w:left w:w="144" w:type="dxa"/>
              <w:bottom w:w="72" w:type="dxa"/>
              <w:right w:w="144" w:type="dxa"/>
            </w:tcMar>
            <w:hideMark/>
          </w:tcPr>
          <w:p w14:paraId="79E6FBBE" w14:textId="77777777" w:rsidR="00457BF8" w:rsidRPr="003C429B" w:rsidRDefault="00457BF8" w:rsidP="003C429B">
            <w:r w:rsidRPr="003C429B">
              <w:rPr>
                <w:rFonts w:hint="eastAsia"/>
              </w:rPr>
              <w:t>肌機能サポート商材開発：</w:t>
            </w:r>
            <w:r w:rsidRPr="003C429B">
              <w:t>5</w:t>
            </w:r>
            <w:r w:rsidRPr="003C429B">
              <w:rPr>
                <w:rFonts w:hint="eastAsia"/>
              </w:rPr>
              <w:t>件</w:t>
            </w:r>
          </w:p>
          <w:p w14:paraId="2D5497F8" w14:textId="77777777" w:rsidR="00457BF8" w:rsidRPr="003C429B" w:rsidRDefault="00457BF8" w:rsidP="003C429B">
            <w:r w:rsidRPr="003C429B">
              <w:rPr>
                <w:rFonts w:hint="eastAsia"/>
              </w:rPr>
              <w:t>環境負荷低減実施件数：</w:t>
            </w:r>
            <w:r w:rsidRPr="003C429B">
              <w:t>5</w:t>
            </w:r>
            <w:r w:rsidRPr="003C429B">
              <w:rPr>
                <w:rFonts w:hint="eastAsia"/>
              </w:rPr>
              <w:t>件</w:t>
            </w:r>
          </w:p>
        </w:tc>
        <w:tc>
          <w:tcPr>
            <w:tcW w:w="3734" w:type="dxa"/>
            <w:tcBorders>
              <w:top w:val="nil"/>
              <w:left w:val="nil"/>
              <w:bottom w:val="nil"/>
              <w:right w:val="nil"/>
            </w:tcBorders>
            <w:shd w:val="clear" w:color="auto" w:fill="auto"/>
            <w:tcMar>
              <w:top w:w="340" w:type="dxa"/>
              <w:left w:w="144" w:type="dxa"/>
              <w:bottom w:w="72" w:type="dxa"/>
              <w:right w:w="144" w:type="dxa"/>
            </w:tcMar>
            <w:hideMark/>
          </w:tcPr>
          <w:p w14:paraId="191B71E2" w14:textId="77777777" w:rsidR="00457BF8" w:rsidRPr="003C429B" w:rsidRDefault="00457BF8" w:rsidP="003C429B">
            <w:r w:rsidRPr="003C429B">
              <w:rPr>
                <w:rFonts w:hint="eastAsia"/>
              </w:rPr>
              <w:t>容器のリサイクル率：</w:t>
            </w:r>
            <w:r w:rsidRPr="003C429B">
              <w:t>80</w:t>
            </w:r>
            <w:r w:rsidRPr="003C429B">
              <w:rPr>
                <w:rFonts w:hint="eastAsia"/>
              </w:rPr>
              <w:t>％</w:t>
            </w:r>
          </w:p>
          <w:p w14:paraId="4CECAC83" w14:textId="77777777" w:rsidR="00457BF8" w:rsidRPr="003C429B" w:rsidRDefault="00457BF8" w:rsidP="003C429B">
            <w:r w:rsidRPr="003C429B">
              <w:t>CO2</w:t>
            </w:r>
            <w:r w:rsidRPr="003C429B">
              <w:rPr>
                <w:rFonts w:hint="eastAsia"/>
              </w:rPr>
              <w:t>排出率：毎年</w:t>
            </w:r>
            <w:r w:rsidRPr="003C429B">
              <w:t>5%</w:t>
            </w:r>
            <w:r w:rsidRPr="003C429B">
              <w:rPr>
                <w:rFonts w:hint="eastAsia"/>
              </w:rPr>
              <w:t>低減</w:t>
            </w:r>
          </w:p>
        </w:tc>
        <w:tc>
          <w:tcPr>
            <w:tcW w:w="3734" w:type="dxa"/>
            <w:tcBorders>
              <w:top w:val="nil"/>
              <w:left w:val="nil"/>
              <w:bottom w:val="nil"/>
              <w:right w:val="nil"/>
            </w:tcBorders>
            <w:shd w:val="clear" w:color="auto" w:fill="auto"/>
            <w:tcMar>
              <w:top w:w="340" w:type="dxa"/>
              <w:left w:w="144" w:type="dxa"/>
              <w:bottom w:w="72" w:type="dxa"/>
              <w:right w:w="144" w:type="dxa"/>
            </w:tcMar>
            <w:hideMark/>
          </w:tcPr>
          <w:p w14:paraId="404542BE" w14:textId="77777777" w:rsidR="00457BF8" w:rsidRPr="003C429B" w:rsidRDefault="00457BF8" w:rsidP="003C429B">
            <w:r w:rsidRPr="003C429B">
              <w:rPr>
                <w:rFonts w:hint="eastAsia"/>
              </w:rPr>
              <w:t>コミュニティ活動の実施：</w:t>
            </w:r>
            <w:r w:rsidRPr="003C429B">
              <w:t>10</w:t>
            </w:r>
            <w:r w:rsidRPr="003C429B">
              <w:rPr>
                <w:rFonts w:hint="eastAsia"/>
              </w:rPr>
              <w:t>件</w:t>
            </w:r>
          </w:p>
          <w:p w14:paraId="3C1E3A35" w14:textId="77777777" w:rsidR="00457BF8" w:rsidRPr="003C429B" w:rsidRDefault="00457BF8" w:rsidP="003C429B">
            <w:r w:rsidRPr="003C429B">
              <w:rPr>
                <w:rFonts w:hint="eastAsia"/>
              </w:rPr>
              <w:t>女性美容家育成：</w:t>
            </w:r>
            <w:r w:rsidRPr="003C429B">
              <w:t>100</w:t>
            </w:r>
            <w:r w:rsidRPr="003C429B">
              <w:rPr>
                <w:rFonts w:hint="eastAsia"/>
              </w:rPr>
              <w:t>名</w:t>
            </w:r>
          </w:p>
        </w:tc>
      </w:tr>
    </w:tbl>
    <w:p w14:paraId="4C83A437" w14:textId="59212B6F" w:rsidR="003C429B" w:rsidRDefault="003C429B" w:rsidP="003C429B"/>
    <w:p w14:paraId="6DD0BC93" w14:textId="77777777" w:rsidR="00457BF8" w:rsidRPr="00457BF8" w:rsidRDefault="00457BF8" w:rsidP="00457BF8">
      <w:r w:rsidRPr="00457BF8">
        <w:rPr>
          <w:rFonts w:hint="eastAsia"/>
        </w:rPr>
        <w:t>伝統・文化の継承</w:t>
      </w:r>
    </w:p>
    <w:p w14:paraId="40A5BDEB" w14:textId="033B62EF" w:rsidR="00457BF8" w:rsidRPr="00457BF8" w:rsidRDefault="00457BF8" w:rsidP="00457BF8">
      <w:r w:rsidRPr="00457BF8">
        <w:rPr>
          <w:rFonts w:hint="eastAsia"/>
        </w:rPr>
        <w:t>匠・最新科学技術の融合による絹の可能性発信</w:t>
      </w:r>
    </w:p>
    <w:p w14:paraId="688C1671" w14:textId="184F2FB0" w:rsidR="00457BF8" w:rsidRDefault="00457BF8" w:rsidP="003C429B"/>
    <w:p w14:paraId="171E5F2A" w14:textId="77777777" w:rsidR="00457BF8" w:rsidRPr="00457BF8" w:rsidRDefault="00457BF8" w:rsidP="00457BF8">
      <w:r w:rsidRPr="00457BF8">
        <w:rPr>
          <w:rFonts w:hint="eastAsia"/>
        </w:rPr>
        <w:t>素肌も身体も心も地球も…</w:t>
      </w:r>
      <w:r w:rsidRPr="00457BF8">
        <w:rPr>
          <w:rFonts w:hint="eastAsia"/>
        </w:rPr>
        <w:br/>
        <w:t>すべてに心地よい選択を！</w:t>
      </w:r>
    </w:p>
    <w:p w14:paraId="30E523A5" w14:textId="1227288D" w:rsidR="00457BF8" w:rsidRDefault="00457BF8" w:rsidP="003C429B"/>
    <w:p w14:paraId="554A425E" w14:textId="77777777" w:rsidR="00763825" w:rsidRPr="00763825" w:rsidRDefault="00763825" w:rsidP="00763825">
      <w:r w:rsidRPr="00763825">
        <w:rPr>
          <w:rFonts w:hint="eastAsia"/>
        </w:rPr>
        <w:t>お客様、エステティシャンの声が反映された化粧品開発</w:t>
      </w:r>
    </w:p>
    <w:p w14:paraId="034B67B8" w14:textId="77777777" w:rsidR="00763825" w:rsidRPr="00763825" w:rsidRDefault="00763825" w:rsidP="003C429B"/>
    <w:p w14:paraId="16A77336" w14:textId="2D8634F3" w:rsidR="00457BF8" w:rsidRPr="00457BF8" w:rsidRDefault="00457BF8" w:rsidP="00457BF8">
      <w:r w:rsidRPr="00457BF8">
        <w:rPr>
          <w:rFonts w:hint="eastAsia"/>
        </w:rPr>
        <w:t>いずれの評価項目においても、２回目の施術後の評価は、１回目の施術前の評価と比して高評価であり、３回目の施術後の評価は、２回目の施術後の評価と比して高評価であった。 　２回目の施術と３回目の施術には２週間以上空いているため、３回目の施術後の評価が ２回目の施術後の評価と比して高評価であるということは、２回目の施術後に得られた肌 のキメ、うるおい、ハリ等を改善する効果が最低でも２週間以上続き、その上で３</w:t>
      </w:r>
    </w:p>
    <w:p w14:paraId="3D939ABA" w14:textId="3E28B428" w:rsidR="00457BF8" w:rsidRDefault="00457BF8" w:rsidP="00457BF8">
      <w:r w:rsidRPr="00457BF8">
        <w:rPr>
          <w:rFonts w:hint="eastAsia"/>
        </w:rPr>
        <w:t>回目の 施術を行ったことにより、より高評価が得られたといえる。 　さらに特質すべきは、肌質が全く異なる乾燥性の肌、および脂性肌、そして敏感肌の被 験者いずれに対しても、それら悩みが改善するという結果を得たことである。</w:t>
      </w:r>
    </w:p>
    <w:p w14:paraId="3A9433D4" w14:textId="629528ED" w:rsidR="00AF05AA" w:rsidRDefault="00AF05AA" w:rsidP="00457BF8"/>
    <w:p w14:paraId="0F4FEEEE" w14:textId="6EA792BD" w:rsidR="00AF05AA" w:rsidRDefault="00AF05AA" w:rsidP="00457BF8"/>
    <w:p w14:paraId="2DB55DC3" w14:textId="77777777" w:rsidR="00CB6547" w:rsidRDefault="00CB6547" w:rsidP="00457BF8">
      <w:pPr>
        <w:rPr>
          <w:rFonts w:hint="eastAsia"/>
        </w:rPr>
      </w:pPr>
    </w:p>
    <w:p w14:paraId="3D267D7D" w14:textId="77777777" w:rsidR="00AF05AA" w:rsidRDefault="00AF05AA" w:rsidP="00AF05AA">
      <w:r>
        <w:rPr>
          <w:rFonts w:hint="eastAsia"/>
        </w:rPr>
        <w:t>塩酸、硫酸をはじめとする強酸は使用しない。</w:t>
      </w:r>
    </w:p>
    <w:p w14:paraId="08A8E8F9" w14:textId="77777777" w:rsidR="00AF05AA" w:rsidRDefault="00AF05AA" w:rsidP="00AF05AA">
      <w:r>
        <w:rPr>
          <w:rFonts w:hint="eastAsia"/>
        </w:rPr>
        <w:lastRenderedPageBreak/>
        <w:t>水酸化ナトリウムをはじめとする強アルカリは使用しない。</w:t>
      </w:r>
    </w:p>
    <w:p w14:paraId="52FE53A6" w14:textId="77777777" w:rsidR="00AF05AA" w:rsidRPr="00D17B40" w:rsidRDefault="00AF05AA" w:rsidP="00AF05AA">
      <w:r>
        <w:rPr>
          <w:rFonts w:hint="eastAsia"/>
        </w:rPr>
        <w:t>洗浄剤として、高級アルコール系、石油系、硫酸系、は原則使用しない。</w:t>
      </w:r>
    </w:p>
    <w:p w14:paraId="01DBF42E" w14:textId="77777777" w:rsidR="00AF05AA" w:rsidRDefault="00AF05AA" w:rsidP="00AF05AA">
      <w:r>
        <w:rPr>
          <w:rFonts w:hint="eastAsia"/>
        </w:rPr>
        <w:t>施設備品の消毒用途としてのアルコール類の使用は、エタノールのみ少量（全消毒用途の20%以下、年間500ml以内）使用するものとする。</w:t>
      </w:r>
    </w:p>
    <w:p w14:paraId="6E333943" w14:textId="088DEA58" w:rsidR="00AF05AA" w:rsidRDefault="00AF05AA" w:rsidP="00AF05AA">
      <w:r>
        <w:rPr>
          <w:rFonts w:hint="eastAsia"/>
        </w:rPr>
        <w:t>その他、アルコール類は一切使用しない。</w:t>
      </w:r>
    </w:p>
    <w:p w14:paraId="4763E931" w14:textId="5EF5D19E" w:rsidR="00AF05AA" w:rsidRDefault="00AF05AA" w:rsidP="00AF05AA"/>
    <w:p w14:paraId="17778BEB" w14:textId="72CB384C" w:rsidR="00AF05AA" w:rsidRDefault="00CB6547" w:rsidP="00AF05AA">
      <w:r>
        <w:rPr>
          <w:rFonts w:hint="eastAsia"/>
        </w:rPr>
        <w:t>子育て世代女性の活躍</w:t>
      </w:r>
    </w:p>
    <w:p w14:paraId="793BAE79" w14:textId="7550B7A5" w:rsidR="00CB6547" w:rsidRDefault="00CB6547" w:rsidP="00AF05AA">
      <w:r>
        <w:rPr>
          <w:rFonts w:hint="eastAsia"/>
        </w:rPr>
        <w:t>流通在庫</w:t>
      </w:r>
    </w:p>
    <w:p w14:paraId="6079AE20" w14:textId="40C3E43B" w:rsidR="00CB6547" w:rsidRDefault="00CB6547" w:rsidP="00AF05AA">
      <w:r>
        <w:rPr>
          <w:rFonts w:hint="eastAsia"/>
        </w:rPr>
        <w:t>過剰在庫</w:t>
      </w:r>
    </w:p>
    <w:p w14:paraId="6217E57D" w14:textId="75E64425" w:rsidR="00CB6547" w:rsidRDefault="00CB6547" w:rsidP="00AF05AA">
      <w:pPr>
        <w:rPr>
          <w:rFonts w:hint="eastAsia"/>
        </w:rPr>
      </w:pPr>
      <w:r>
        <w:rPr>
          <w:rFonts w:hint="eastAsia"/>
        </w:rPr>
        <w:t>有害物質廃棄</w:t>
      </w:r>
    </w:p>
    <w:p w14:paraId="34A2276F" w14:textId="7075831B" w:rsidR="00CB6547" w:rsidRDefault="00CB6547" w:rsidP="00AF05AA">
      <w:r>
        <w:rPr>
          <w:rFonts w:hint="eastAsia"/>
        </w:rPr>
        <w:t>需要に合わせた適時生産</w:t>
      </w:r>
    </w:p>
    <w:p w14:paraId="5535CF6C" w14:textId="7B0B18F6" w:rsidR="00CB6547" w:rsidRDefault="00CB6547" w:rsidP="00AF05AA"/>
    <w:p w14:paraId="2E5B0A29" w14:textId="2A1E77B2" w:rsidR="00B25970" w:rsidRPr="0033569E" w:rsidRDefault="00B25970" w:rsidP="00AF05AA">
      <w:pPr>
        <w:rPr>
          <w:rFonts w:hint="eastAsia"/>
        </w:rPr>
      </w:pPr>
    </w:p>
    <w:p w14:paraId="411EA56A" w14:textId="6169CB62" w:rsidR="005F48D2" w:rsidRPr="00457BF8" w:rsidRDefault="00B25970" w:rsidP="00AF05AA">
      <w:r>
        <w:rPr>
          <w:noProof/>
        </w:rPr>
        <mc:AlternateContent>
          <mc:Choice Requires="wps">
            <w:drawing>
              <wp:anchor distT="45720" distB="45720" distL="114300" distR="114300" simplePos="0" relativeHeight="251659264" behindDoc="1" locked="0" layoutInCell="1" allowOverlap="1" wp14:anchorId="3393D18A" wp14:editId="0312A8BD">
                <wp:simplePos x="0" y="0"/>
                <wp:positionH relativeFrom="margin">
                  <wp:posOffset>1176655</wp:posOffset>
                </wp:positionH>
                <wp:positionV relativeFrom="paragraph">
                  <wp:posOffset>2203450</wp:posOffset>
                </wp:positionV>
                <wp:extent cx="4433570" cy="1404620"/>
                <wp:effectExtent l="0" t="0" r="2413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570" cy="1404620"/>
                        </a:xfrm>
                        <a:prstGeom prst="rect">
                          <a:avLst/>
                        </a:prstGeom>
                        <a:solidFill>
                          <a:srgbClr val="FFFFFF"/>
                        </a:solidFill>
                        <a:ln w="9525">
                          <a:solidFill>
                            <a:srgbClr val="000000"/>
                          </a:solidFill>
                          <a:miter lim="800000"/>
                          <a:headEnd/>
                          <a:tailEnd/>
                        </a:ln>
                      </wps:spPr>
                      <wps:txbx>
                        <w:txbxContent>
                          <w:p w14:paraId="4010343D" w14:textId="26A14C40" w:rsidR="00CB6547" w:rsidRPr="00B25970" w:rsidRDefault="00B25970">
                            <w:pPr>
                              <w:rPr>
                                <w:rFonts w:hint="eastAsia"/>
                                <w:color w:val="00B0F0"/>
                                <w:sz w:val="40"/>
                                <w:szCs w:val="40"/>
                              </w:rPr>
                            </w:pPr>
                            <w:r w:rsidRPr="00B25970">
                              <w:rPr>
                                <w:rFonts w:hint="eastAsia"/>
                                <w:color w:val="00B0F0"/>
                                <w:sz w:val="40"/>
                                <w:szCs w:val="40"/>
                              </w:rPr>
                              <w:t>この図内の文字は翻訳対象外です。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93D18A" id="_x0000_t202" coordsize="21600,21600" o:spt="202" path="m,l,21600r21600,l21600,xe">
                <v:stroke joinstyle="miter"/>
                <v:path gradientshapeok="t" o:connecttype="rect"/>
              </v:shapetype>
              <v:shape id="テキスト ボックス 2" o:spid="_x0000_s1026" type="#_x0000_t202" style="position:absolute;left:0;text-align:left;margin-left:92.65pt;margin-top:173.5pt;width:349.1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">
                <v:textbox style="mso-fit-shape-to-text:t">
                  <w:txbxContent>
                    <w:p w14:paraId="4010343D" w14:textId="26A14C40" w:rsidR="00CB6547" w:rsidRPr="00B25970" w:rsidRDefault="00B25970">
                      <w:pPr>
                        <w:rPr>
                          <w:rFonts w:hint="eastAsia"/>
                          <w:color w:val="00B0F0"/>
                          <w:sz w:val="40"/>
                          <w:szCs w:val="40"/>
                        </w:rPr>
                      </w:pPr>
                      <w:r w:rsidRPr="00B25970">
                        <w:rPr>
                          <w:rFonts w:hint="eastAsia"/>
                          <w:color w:val="00B0F0"/>
                          <w:sz w:val="40"/>
                          <w:szCs w:val="40"/>
                        </w:rPr>
                        <w:t>この図内の文字は翻訳対象外です。</w:t>
                      </w:r>
                    </w:p>
                  </w:txbxContent>
                </v:textbox>
                <w10:wrap anchorx="margin"/>
              </v:shape>
            </w:pict>
          </mc:Fallback>
        </mc:AlternateContent>
      </w:r>
      <w:r>
        <w:rPr>
          <w:noProof/>
        </w:rPr>
        <w:drawing>
          <wp:anchor distT="0" distB="0" distL="114300" distR="114300" simplePos="0" relativeHeight="251658239" behindDoc="1" locked="0" layoutInCell="1" allowOverlap="1" wp14:anchorId="32EBA03B" wp14:editId="0D1901CF">
            <wp:simplePos x="0" y="0"/>
            <wp:positionH relativeFrom="margin">
              <wp:align>right</wp:align>
            </wp:positionH>
            <wp:positionV relativeFrom="paragraph">
              <wp:posOffset>158750</wp:posOffset>
            </wp:positionV>
            <wp:extent cx="6590030" cy="5003800"/>
            <wp:effectExtent l="0" t="0" r="0" b="0"/>
            <wp:wrapNone/>
            <wp:docPr id="15" name="図 14">
              <a:extLst xmlns:a="http://schemas.openxmlformats.org/drawingml/2006/main">
                <a:ext uri="{FF2B5EF4-FFF2-40B4-BE49-F238E27FC236}">
                  <a16:creationId xmlns:a16="http://schemas.microsoft.com/office/drawing/2014/main" id="{D13137F9-CA1F-4A79-892A-D67379A33C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a:extLst>
                        <a:ext uri="{FF2B5EF4-FFF2-40B4-BE49-F238E27FC236}">
                          <a16:creationId xmlns:a16="http://schemas.microsoft.com/office/drawing/2014/main" id="{D13137F9-CA1F-4A79-892A-D67379A33CAE}"/>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590030" cy="5003800"/>
                    </a:xfrm>
                    <a:prstGeom prst="rect">
                      <a:avLst/>
                    </a:prstGeom>
                  </pic:spPr>
                </pic:pic>
              </a:graphicData>
            </a:graphic>
          </wp:anchor>
        </w:drawing>
      </w:r>
    </w:p>
    <w:sectPr w:rsidR="005F48D2" w:rsidRPr="00457BF8" w:rsidSect="003C429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E69C1"/>
    <w:multiLevelType w:val="hybridMultilevel"/>
    <w:tmpl w:val="E3CA5E8A"/>
    <w:lvl w:ilvl="0" w:tplc="3F24CF38">
      <w:start w:val="1"/>
      <w:numFmt w:val="bullet"/>
      <w:lvlText w:val=""/>
      <w:lvlJc w:val="left"/>
      <w:pPr>
        <w:tabs>
          <w:tab w:val="num" w:pos="720"/>
        </w:tabs>
        <w:ind w:left="720" w:hanging="360"/>
      </w:pPr>
      <w:rPr>
        <w:rFonts w:ascii="Wingdings" w:hAnsi="Wingdings" w:hint="default"/>
      </w:rPr>
    </w:lvl>
    <w:lvl w:ilvl="1" w:tplc="34F89D26" w:tentative="1">
      <w:start w:val="1"/>
      <w:numFmt w:val="bullet"/>
      <w:lvlText w:val=""/>
      <w:lvlJc w:val="left"/>
      <w:pPr>
        <w:tabs>
          <w:tab w:val="num" w:pos="1440"/>
        </w:tabs>
        <w:ind w:left="1440" w:hanging="360"/>
      </w:pPr>
      <w:rPr>
        <w:rFonts w:ascii="Wingdings" w:hAnsi="Wingdings" w:hint="default"/>
      </w:rPr>
    </w:lvl>
    <w:lvl w:ilvl="2" w:tplc="4CCC9CD4" w:tentative="1">
      <w:start w:val="1"/>
      <w:numFmt w:val="bullet"/>
      <w:lvlText w:val=""/>
      <w:lvlJc w:val="left"/>
      <w:pPr>
        <w:tabs>
          <w:tab w:val="num" w:pos="2160"/>
        </w:tabs>
        <w:ind w:left="2160" w:hanging="360"/>
      </w:pPr>
      <w:rPr>
        <w:rFonts w:ascii="Wingdings" w:hAnsi="Wingdings" w:hint="default"/>
      </w:rPr>
    </w:lvl>
    <w:lvl w:ilvl="3" w:tplc="DB7488DA" w:tentative="1">
      <w:start w:val="1"/>
      <w:numFmt w:val="bullet"/>
      <w:lvlText w:val=""/>
      <w:lvlJc w:val="left"/>
      <w:pPr>
        <w:tabs>
          <w:tab w:val="num" w:pos="2880"/>
        </w:tabs>
        <w:ind w:left="2880" w:hanging="360"/>
      </w:pPr>
      <w:rPr>
        <w:rFonts w:ascii="Wingdings" w:hAnsi="Wingdings" w:hint="default"/>
      </w:rPr>
    </w:lvl>
    <w:lvl w:ilvl="4" w:tplc="A73ACEB8" w:tentative="1">
      <w:start w:val="1"/>
      <w:numFmt w:val="bullet"/>
      <w:lvlText w:val=""/>
      <w:lvlJc w:val="left"/>
      <w:pPr>
        <w:tabs>
          <w:tab w:val="num" w:pos="3600"/>
        </w:tabs>
        <w:ind w:left="3600" w:hanging="360"/>
      </w:pPr>
      <w:rPr>
        <w:rFonts w:ascii="Wingdings" w:hAnsi="Wingdings" w:hint="default"/>
      </w:rPr>
    </w:lvl>
    <w:lvl w:ilvl="5" w:tplc="1A62A436" w:tentative="1">
      <w:start w:val="1"/>
      <w:numFmt w:val="bullet"/>
      <w:lvlText w:val=""/>
      <w:lvlJc w:val="left"/>
      <w:pPr>
        <w:tabs>
          <w:tab w:val="num" w:pos="4320"/>
        </w:tabs>
        <w:ind w:left="4320" w:hanging="360"/>
      </w:pPr>
      <w:rPr>
        <w:rFonts w:ascii="Wingdings" w:hAnsi="Wingdings" w:hint="default"/>
      </w:rPr>
    </w:lvl>
    <w:lvl w:ilvl="6" w:tplc="27F8C39A" w:tentative="1">
      <w:start w:val="1"/>
      <w:numFmt w:val="bullet"/>
      <w:lvlText w:val=""/>
      <w:lvlJc w:val="left"/>
      <w:pPr>
        <w:tabs>
          <w:tab w:val="num" w:pos="5040"/>
        </w:tabs>
        <w:ind w:left="5040" w:hanging="360"/>
      </w:pPr>
      <w:rPr>
        <w:rFonts w:ascii="Wingdings" w:hAnsi="Wingdings" w:hint="default"/>
      </w:rPr>
    </w:lvl>
    <w:lvl w:ilvl="7" w:tplc="A300C3A6" w:tentative="1">
      <w:start w:val="1"/>
      <w:numFmt w:val="bullet"/>
      <w:lvlText w:val=""/>
      <w:lvlJc w:val="left"/>
      <w:pPr>
        <w:tabs>
          <w:tab w:val="num" w:pos="5760"/>
        </w:tabs>
        <w:ind w:left="5760" w:hanging="360"/>
      </w:pPr>
      <w:rPr>
        <w:rFonts w:ascii="Wingdings" w:hAnsi="Wingdings" w:hint="default"/>
      </w:rPr>
    </w:lvl>
    <w:lvl w:ilvl="8" w:tplc="709210E0"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9B"/>
    <w:rsid w:val="001F0020"/>
    <w:rsid w:val="003C2D93"/>
    <w:rsid w:val="003C429B"/>
    <w:rsid w:val="00457BF8"/>
    <w:rsid w:val="005F48D2"/>
    <w:rsid w:val="00763825"/>
    <w:rsid w:val="009B7F42"/>
    <w:rsid w:val="00AF05AA"/>
    <w:rsid w:val="00B12938"/>
    <w:rsid w:val="00B25970"/>
    <w:rsid w:val="00CB6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751644"/>
  <w15:chartTrackingRefBased/>
  <w15:docId w15:val="{9B67B9D4-0642-4E8E-99D9-630A8491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1047">
      <w:bodyDiv w:val="1"/>
      <w:marLeft w:val="0"/>
      <w:marRight w:val="0"/>
      <w:marTop w:val="0"/>
      <w:marBottom w:val="0"/>
      <w:divBdr>
        <w:top w:val="none" w:sz="0" w:space="0" w:color="auto"/>
        <w:left w:val="none" w:sz="0" w:space="0" w:color="auto"/>
        <w:bottom w:val="none" w:sz="0" w:space="0" w:color="auto"/>
        <w:right w:val="none" w:sz="0" w:space="0" w:color="auto"/>
      </w:divBdr>
    </w:div>
    <w:div w:id="165677478">
      <w:bodyDiv w:val="1"/>
      <w:marLeft w:val="0"/>
      <w:marRight w:val="0"/>
      <w:marTop w:val="0"/>
      <w:marBottom w:val="0"/>
      <w:divBdr>
        <w:top w:val="none" w:sz="0" w:space="0" w:color="auto"/>
        <w:left w:val="none" w:sz="0" w:space="0" w:color="auto"/>
        <w:bottom w:val="none" w:sz="0" w:space="0" w:color="auto"/>
        <w:right w:val="none" w:sz="0" w:space="0" w:color="auto"/>
      </w:divBdr>
    </w:div>
    <w:div w:id="913321827">
      <w:bodyDiv w:val="1"/>
      <w:marLeft w:val="0"/>
      <w:marRight w:val="0"/>
      <w:marTop w:val="0"/>
      <w:marBottom w:val="0"/>
      <w:divBdr>
        <w:top w:val="none" w:sz="0" w:space="0" w:color="auto"/>
        <w:left w:val="none" w:sz="0" w:space="0" w:color="auto"/>
        <w:bottom w:val="none" w:sz="0" w:space="0" w:color="auto"/>
        <w:right w:val="none" w:sz="0" w:space="0" w:color="auto"/>
      </w:divBdr>
    </w:div>
    <w:div w:id="1126630316">
      <w:bodyDiv w:val="1"/>
      <w:marLeft w:val="0"/>
      <w:marRight w:val="0"/>
      <w:marTop w:val="0"/>
      <w:marBottom w:val="0"/>
      <w:divBdr>
        <w:top w:val="none" w:sz="0" w:space="0" w:color="auto"/>
        <w:left w:val="none" w:sz="0" w:space="0" w:color="auto"/>
        <w:bottom w:val="none" w:sz="0" w:space="0" w:color="auto"/>
        <w:right w:val="none" w:sz="0" w:space="0" w:color="auto"/>
      </w:divBdr>
    </w:div>
    <w:div w:id="1340615562">
      <w:bodyDiv w:val="1"/>
      <w:marLeft w:val="0"/>
      <w:marRight w:val="0"/>
      <w:marTop w:val="0"/>
      <w:marBottom w:val="0"/>
      <w:divBdr>
        <w:top w:val="none" w:sz="0" w:space="0" w:color="auto"/>
        <w:left w:val="none" w:sz="0" w:space="0" w:color="auto"/>
        <w:bottom w:val="none" w:sz="0" w:space="0" w:color="auto"/>
        <w:right w:val="none" w:sz="0" w:space="0" w:color="auto"/>
      </w:divBdr>
    </w:div>
    <w:div w:id="1455248216">
      <w:bodyDiv w:val="1"/>
      <w:marLeft w:val="0"/>
      <w:marRight w:val="0"/>
      <w:marTop w:val="0"/>
      <w:marBottom w:val="0"/>
      <w:divBdr>
        <w:top w:val="none" w:sz="0" w:space="0" w:color="auto"/>
        <w:left w:val="none" w:sz="0" w:space="0" w:color="auto"/>
        <w:bottom w:val="none" w:sz="0" w:space="0" w:color="auto"/>
        <w:right w:val="none" w:sz="0" w:space="0" w:color="auto"/>
      </w:divBdr>
      <w:divsChild>
        <w:div w:id="1460949558">
          <w:marLeft w:val="274"/>
          <w:marRight w:val="0"/>
          <w:marTop w:val="0"/>
          <w:marBottom w:val="120"/>
          <w:divBdr>
            <w:top w:val="none" w:sz="0" w:space="0" w:color="auto"/>
            <w:left w:val="none" w:sz="0" w:space="0" w:color="auto"/>
            <w:bottom w:val="none" w:sz="0" w:space="0" w:color="auto"/>
            <w:right w:val="none" w:sz="0" w:space="0" w:color="auto"/>
          </w:divBdr>
        </w:div>
        <w:div w:id="1687439721">
          <w:marLeft w:val="274"/>
          <w:marRight w:val="0"/>
          <w:marTop w:val="0"/>
          <w:marBottom w:val="120"/>
          <w:divBdr>
            <w:top w:val="none" w:sz="0" w:space="0" w:color="auto"/>
            <w:left w:val="none" w:sz="0" w:space="0" w:color="auto"/>
            <w:bottom w:val="none" w:sz="0" w:space="0" w:color="auto"/>
            <w:right w:val="none" w:sz="0" w:space="0" w:color="auto"/>
          </w:divBdr>
        </w:div>
        <w:div w:id="1478572195">
          <w:marLeft w:val="274"/>
          <w:marRight w:val="0"/>
          <w:marTop w:val="0"/>
          <w:marBottom w:val="120"/>
          <w:divBdr>
            <w:top w:val="none" w:sz="0" w:space="0" w:color="auto"/>
            <w:left w:val="none" w:sz="0" w:space="0" w:color="auto"/>
            <w:bottom w:val="none" w:sz="0" w:space="0" w:color="auto"/>
            <w:right w:val="none" w:sz="0" w:space="0" w:color="auto"/>
          </w:divBdr>
        </w:div>
        <w:div w:id="1684437939">
          <w:marLeft w:val="274"/>
          <w:marRight w:val="0"/>
          <w:marTop w:val="0"/>
          <w:marBottom w:val="120"/>
          <w:divBdr>
            <w:top w:val="none" w:sz="0" w:space="0" w:color="auto"/>
            <w:left w:val="none" w:sz="0" w:space="0" w:color="auto"/>
            <w:bottom w:val="none" w:sz="0" w:space="0" w:color="auto"/>
            <w:right w:val="none" w:sz="0" w:space="0" w:color="auto"/>
          </w:divBdr>
        </w:div>
        <w:div w:id="1008950098">
          <w:marLeft w:val="274"/>
          <w:marRight w:val="0"/>
          <w:marTop w:val="0"/>
          <w:marBottom w:val="120"/>
          <w:divBdr>
            <w:top w:val="none" w:sz="0" w:space="0" w:color="auto"/>
            <w:left w:val="none" w:sz="0" w:space="0" w:color="auto"/>
            <w:bottom w:val="none" w:sz="0" w:space="0" w:color="auto"/>
            <w:right w:val="none" w:sz="0" w:space="0" w:color="auto"/>
          </w:divBdr>
        </w:div>
        <w:div w:id="130291204">
          <w:marLeft w:val="274"/>
          <w:marRight w:val="0"/>
          <w:marTop w:val="0"/>
          <w:marBottom w:val="120"/>
          <w:divBdr>
            <w:top w:val="none" w:sz="0" w:space="0" w:color="auto"/>
            <w:left w:val="none" w:sz="0" w:space="0" w:color="auto"/>
            <w:bottom w:val="none" w:sz="0" w:space="0" w:color="auto"/>
            <w:right w:val="none" w:sz="0" w:space="0" w:color="auto"/>
          </w:divBdr>
        </w:div>
        <w:div w:id="1845198631">
          <w:marLeft w:val="274"/>
          <w:marRight w:val="0"/>
          <w:marTop w:val="0"/>
          <w:marBottom w:val="120"/>
          <w:divBdr>
            <w:top w:val="none" w:sz="0" w:space="0" w:color="auto"/>
            <w:left w:val="none" w:sz="0" w:space="0" w:color="auto"/>
            <w:bottom w:val="none" w:sz="0" w:space="0" w:color="auto"/>
            <w:right w:val="none" w:sz="0" w:space="0" w:color="auto"/>
          </w:divBdr>
        </w:div>
        <w:div w:id="1979068175">
          <w:marLeft w:val="274"/>
          <w:marRight w:val="0"/>
          <w:marTop w:val="0"/>
          <w:marBottom w:val="120"/>
          <w:divBdr>
            <w:top w:val="none" w:sz="0" w:space="0" w:color="auto"/>
            <w:left w:val="none" w:sz="0" w:space="0" w:color="auto"/>
            <w:bottom w:val="none" w:sz="0" w:space="0" w:color="auto"/>
            <w:right w:val="none" w:sz="0" w:space="0" w:color="auto"/>
          </w:divBdr>
        </w:div>
        <w:div w:id="2062484052">
          <w:marLeft w:val="274"/>
          <w:marRight w:val="0"/>
          <w:marTop w:val="0"/>
          <w:marBottom w:val="120"/>
          <w:divBdr>
            <w:top w:val="none" w:sz="0" w:space="0" w:color="auto"/>
            <w:left w:val="none" w:sz="0" w:space="0" w:color="auto"/>
            <w:bottom w:val="none" w:sz="0" w:space="0" w:color="auto"/>
            <w:right w:val="none" w:sz="0" w:space="0" w:color="auto"/>
          </w:divBdr>
        </w:div>
      </w:divsChild>
    </w:div>
    <w:div w:id="1507669825">
      <w:bodyDiv w:val="1"/>
      <w:marLeft w:val="0"/>
      <w:marRight w:val="0"/>
      <w:marTop w:val="0"/>
      <w:marBottom w:val="0"/>
      <w:divBdr>
        <w:top w:val="none" w:sz="0" w:space="0" w:color="auto"/>
        <w:left w:val="none" w:sz="0" w:space="0" w:color="auto"/>
        <w:bottom w:val="none" w:sz="0" w:space="0" w:color="auto"/>
        <w:right w:val="none" w:sz="0" w:space="0" w:color="auto"/>
      </w:divBdr>
    </w:div>
    <w:div w:id="1643651664">
      <w:bodyDiv w:val="1"/>
      <w:marLeft w:val="0"/>
      <w:marRight w:val="0"/>
      <w:marTop w:val="0"/>
      <w:marBottom w:val="0"/>
      <w:divBdr>
        <w:top w:val="none" w:sz="0" w:space="0" w:color="auto"/>
        <w:left w:val="none" w:sz="0" w:space="0" w:color="auto"/>
        <w:bottom w:val="none" w:sz="0" w:space="0" w:color="auto"/>
        <w:right w:val="none" w:sz="0" w:space="0" w:color="auto"/>
      </w:divBdr>
    </w:div>
    <w:div w:id="1906529507">
      <w:bodyDiv w:val="1"/>
      <w:marLeft w:val="0"/>
      <w:marRight w:val="0"/>
      <w:marTop w:val="0"/>
      <w:marBottom w:val="0"/>
      <w:divBdr>
        <w:top w:val="none" w:sz="0" w:space="0" w:color="auto"/>
        <w:left w:val="none" w:sz="0" w:space="0" w:color="auto"/>
        <w:bottom w:val="none" w:sz="0" w:space="0" w:color="auto"/>
        <w:right w:val="none" w:sz="0" w:space="0" w:color="auto"/>
      </w:divBdr>
    </w:div>
    <w:div w:id="1930044748">
      <w:bodyDiv w:val="1"/>
      <w:marLeft w:val="0"/>
      <w:marRight w:val="0"/>
      <w:marTop w:val="0"/>
      <w:marBottom w:val="0"/>
      <w:divBdr>
        <w:top w:val="none" w:sz="0" w:space="0" w:color="auto"/>
        <w:left w:val="none" w:sz="0" w:space="0" w:color="auto"/>
        <w:bottom w:val="none" w:sz="0" w:space="0" w:color="auto"/>
        <w:right w:val="none" w:sz="0" w:space="0" w:color="auto"/>
      </w:divBdr>
    </w:div>
    <w:div w:id="2003578072">
      <w:bodyDiv w:val="1"/>
      <w:marLeft w:val="0"/>
      <w:marRight w:val="0"/>
      <w:marTop w:val="0"/>
      <w:marBottom w:val="0"/>
      <w:divBdr>
        <w:top w:val="none" w:sz="0" w:space="0" w:color="auto"/>
        <w:left w:val="none" w:sz="0" w:space="0" w:color="auto"/>
        <w:bottom w:val="none" w:sz="0" w:space="0" w:color="auto"/>
        <w:right w:val="none" w:sz="0" w:space="0" w:color="auto"/>
      </w:divBdr>
    </w:div>
    <w:div w:id="2060278683">
      <w:bodyDiv w:val="1"/>
      <w:marLeft w:val="0"/>
      <w:marRight w:val="0"/>
      <w:marTop w:val="0"/>
      <w:marBottom w:val="0"/>
      <w:divBdr>
        <w:top w:val="none" w:sz="0" w:space="0" w:color="auto"/>
        <w:left w:val="none" w:sz="0" w:space="0" w:color="auto"/>
        <w:bottom w:val="none" w:sz="0" w:space="0" w:color="auto"/>
        <w:right w:val="none" w:sz="0" w:space="0" w:color="auto"/>
      </w:divBdr>
    </w:div>
    <w:div w:id="212796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376</Words>
  <Characters>2147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Matsuoka Masaaki</dc:creator>
  <cp:keywords/>
  <dc:description/>
  <cp:lastModifiedBy>Matsuoka Masaaki</cp:lastModifiedBy>
  <cp:revision>7</cp:revision>
  <dcterms:created xsi:type="dcterms:W3CDTF">2022-01-03T05:36:00Z</dcterms:created>
  <dcterms:modified xsi:type="dcterms:W3CDTF">2022-01-03T06:56:00Z</dcterms:modified>
</cp:coreProperties>
</file>