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4A2C" w14:textId="26779107" w:rsidR="00EA1FE1" w:rsidRDefault="00BA26D5" w:rsidP="00EA1FE1">
      <w:pPr>
        <w:jc w:val="center"/>
        <w:rPr>
          <w:rFonts w:ascii="Times New Roman" w:eastAsia="MS明朝" w:hAnsi="Times New Roman"/>
          <w:b/>
          <w:sz w:val="28"/>
          <w:szCs w:val="28"/>
        </w:rPr>
      </w:pPr>
      <w:r w:rsidRPr="00EA1FE1">
        <w:rPr>
          <w:rFonts w:ascii="Times New Roman" w:eastAsia="MS明朝" w:hAnsi="Times New Roman"/>
          <w:b/>
          <w:sz w:val="28"/>
          <w:szCs w:val="28"/>
        </w:rPr>
        <w:t>都市化するジャカルタにおける非正規労働の構造と脆弱性</w:t>
      </w:r>
      <w:r w:rsidRPr="00EA1FE1">
        <w:rPr>
          <w:rFonts w:ascii="Times New Roman" w:eastAsia="MS明朝" w:hAnsi="Times New Roman"/>
          <w:b/>
          <w:sz w:val="28"/>
          <w:szCs w:val="28"/>
        </w:rPr>
        <w:br/>
        <w:t>―</w:t>
      </w:r>
      <w:r w:rsidRPr="00EA1FE1">
        <w:rPr>
          <w:rFonts w:ascii="Times New Roman" w:eastAsia="MS明朝" w:hAnsi="Times New Roman"/>
          <w:b/>
          <w:sz w:val="28"/>
          <w:szCs w:val="28"/>
        </w:rPr>
        <w:t>若年層・女性・地方出身者の交差的困難に関する実証的研究</w:t>
      </w:r>
      <w:r w:rsidRPr="00EA1FE1">
        <w:rPr>
          <w:rFonts w:ascii="Times New Roman" w:eastAsia="MS明朝" w:hAnsi="Times New Roman"/>
          <w:b/>
          <w:sz w:val="28"/>
          <w:szCs w:val="28"/>
        </w:rPr>
        <w:t>―</w:t>
      </w:r>
    </w:p>
    <w:p w14:paraId="2FEE87D7" w14:textId="3312E93C" w:rsidR="008F42F2" w:rsidRPr="00EA1FE1" w:rsidRDefault="008F42F2" w:rsidP="00EA1FE1">
      <w:pPr>
        <w:jc w:val="center"/>
        <w:rPr>
          <w:rFonts w:ascii="Times New Roman" w:eastAsia="MS明朝" w:hAnsi="Times New Roman"/>
          <w:b/>
          <w:sz w:val="28"/>
          <w:szCs w:val="28"/>
        </w:rPr>
      </w:pPr>
      <w:r>
        <w:rPr>
          <w:rFonts w:ascii="Times New Roman" w:eastAsia="MS明朝" w:hAnsi="Times New Roman" w:hint="eastAsia"/>
          <w:b/>
          <w:sz w:val="28"/>
          <w:szCs w:val="28"/>
        </w:rPr>
        <w:t>河村涼平　川西弘祐</w:t>
      </w:r>
    </w:p>
    <w:p w14:paraId="045E79B6" w14:textId="57EAAB5E" w:rsidR="00EA1FE1" w:rsidRPr="00EA1FE1" w:rsidRDefault="00EA1FE1" w:rsidP="00EA1FE1">
      <w:pPr>
        <w:rPr>
          <w:rFonts w:ascii="Times New Roman" w:eastAsia="MS明朝" w:hAnsi="Times New Roman"/>
          <w:b/>
          <w:bCs/>
        </w:rPr>
      </w:pPr>
      <w:r w:rsidRPr="00EA1FE1">
        <w:rPr>
          <w:rFonts w:ascii="Times New Roman" w:eastAsia="MS明朝" w:hAnsi="Times New Roman" w:hint="eastAsia"/>
          <w:b/>
          <w:sz w:val="28"/>
          <w:szCs w:val="28"/>
        </w:rPr>
        <w:t>キーワード</w:t>
      </w:r>
    </w:p>
    <w:p w14:paraId="1AFE673B" w14:textId="58BA7670" w:rsidR="00EA1FE1" w:rsidRPr="00EA1FE1" w:rsidRDefault="00EA1FE1" w:rsidP="00EA1FE1">
      <w:pPr>
        <w:rPr>
          <w:rFonts w:ascii="Times New Roman" w:eastAsia="MS明朝" w:hAnsi="Times New Roman"/>
        </w:rPr>
      </w:pPr>
      <w:r w:rsidRPr="00EA1FE1">
        <w:rPr>
          <w:rFonts w:ascii="Times New Roman" w:eastAsia="MS明朝" w:hAnsi="Times New Roman"/>
        </w:rPr>
        <w:t>ジャカルタ；非正規労働；女性労働；交差性；都市化；インフォーマル部門；経済倫理</w:t>
      </w:r>
    </w:p>
    <w:p w14:paraId="1E2FF15B" w14:textId="77777777" w:rsidR="00BA26D5" w:rsidRPr="00EA1FE1" w:rsidRDefault="00BA26D5" w:rsidP="00BA26D5">
      <w:pPr>
        <w:pStyle w:val="1"/>
        <w:rPr>
          <w:rFonts w:ascii="Times New Roman" w:eastAsia="MS明朝" w:hAnsi="Times New Roman"/>
          <w:b/>
          <w:bCs/>
        </w:rPr>
      </w:pPr>
      <w:r w:rsidRPr="00EA1FE1">
        <w:rPr>
          <w:rFonts w:ascii="Times New Roman" w:eastAsia="MS明朝" w:hAnsi="Times New Roman"/>
          <w:b/>
          <w:bCs/>
        </w:rPr>
        <w:t>要旨</w:t>
      </w:r>
    </w:p>
    <w:p w14:paraId="3E0ABD3D" w14:textId="7046C743" w:rsidR="00BA26D5" w:rsidRPr="00BA26D5" w:rsidRDefault="007B5A89" w:rsidP="00EA1FE1">
      <w:pPr>
        <w:ind w:firstLineChars="50" w:firstLine="105"/>
        <w:rPr>
          <w:rFonts w:ascii="Times New Roman" w:eastAsia="MS明朝" w:hAnsi="Times New Roman"/>
        </w:rPr>
      </w:pPr>
      <w:r w:rsidRPr="007B5A89">
        <w:rPr>
          <w:rFonts w:ascii="Times New Roman" w:eastAsia="MS明朝" w:hAnsi="Times New Roman" w:hint="eastAsia"/>
        </w:rPr>
        <w:t>本研究は、急速な都市化が進むインドネシア・ジャカルタにおいて、非正規・インフォーマル労働に従事する若年女性の脆弱性構造を交差性の視点から実証的に分析したものである。</w:t>
      </w:r>
      <w:r w:rsidR="008F42F2">
        <w:rPr>
          <w:rFonts w:ascii="Times New Roman" w:eastAsia="MS明朝" w:hAnsi="Times New Roman" w:hint="eastAsia"/>
        </w:rPr>
        <w:t>セックスワーカーとして</w:t>
      </w:r>
      <w:r w:rsidRPr="007B5A89">
        <w:rPr>
          <w:rFonts w:ascii="Times New Roman" w:eastAsia="MS明朝" w:hAnsi="Times New Roman" w:hint="eastAsia"/>
        </w:rPr>
        <w:t>働く</w:t>
      </w:r>
      <w:r w:rsidRPr="007B5A89">
        <w:rPr>
          <w:rFonts w:ascii="Times New Roman" w:eastAsia="MS明朝" w:hAnsi="Times New Roman"/>
        </w:rPr>
        <w:t>15</w:t>
      </w:r>
      <w:r w:rsidRPr="007B5A89">
        <w:rPr>
          <w:rFonts w:ascii="Times New Roman" w:eastAsia="MS明朝" w:hAnsi="Times New Roman" w:hint="eastAsia"/>
        </w:rPr>
        <w:t>〜</w:t>
      </w:r>
      <w:r w:rsidRPr="007B5A89">
        <w:rPr>
          <w:rFonts w:ascii="Times New Roman" w:eastAsia="MS明朝" w:hAnsi="Times New Roman"/>
        </w:rPr>
        <w:t>26</w:t>
      </w:r>
      <w:r w:rsidRPr="007B5A89">
        <w:rPr>
          <w:rFonts w:ascii="Times New Roman" w:eastAsia="MS明朝" w:hAnsi="Times New Roman"/>
        </w:rPr>
        <w:t>歳の女性</w:t>
      </w:r>
      <w:r w:rsidRPr="007B5A89">
        <w:rPr>
          <w:rFonts w:ascii="Times New Roman" w:eastAsia="MS明朝" w:hAnsi="Times New Roman"/>
        </w:rPr>
        <w:t>13</w:t>
      </w:r>
      <w:r w:rsidRPr="007B5A89">
        <w:rPr>
          <w:rFonts w:ascii="Times New Roman" w:eastAsia="MS明朝" w:hAnsi="Times New Roman"/>
        </w:rPr>
        <w:t>名を対象に半構造化インタビューを実施し、労働条件・生活状況・語りを多角的に検討した。結果、若年・女性・地方出身という三属性の重なりが、低賃金・長時間労働・社会保険未加入・社会的孤立といった不利益を累積させ、経済的・社会的・制度的脆弱性を相互に強化する構造が確認された。報酬の出来高・チップ依存</w:t>
      </w:r>
      <w:r w:rsidRPr="007B5A89">
        <w:rPr>
          <w:rFonts w:ascii="Times New Roman" w:eastAsia="MS明朝" w:hAnsi="Times New Roman" w:hint="eastAsia"/>
        </w:rPr>
        <w:t>は努力と所得の連動を断ち、身体的・心理的負担を増大させている。他方で、家族責任を誇りとする語りや自己成長への意欲もみられ、脆弱性の中に主体的再定義の契機が見出された。これらの知見は、非正規労働を都市経済の「安全弁」ではなく、格差再生産の装置として捉え直す必要を示す。政策的には、教育・訓練・最低報酬・社会保険・相談制度を横断的に整備し、「労働の質」を都市発展の基準に据える包括的枠組みが求められる。</w:t>
      </w:r>
    </w:p>
    <w:p w14:paraId="309FA476" w14:textId="77777777" w:rsidR="00EA1FE1" w:rsidRPr="00EA1FE1" w:rsidRDefault="00EA1FE1" w:rsidP="00EA1FE1">
      <w:pPr>
        <w:pStyle w:val="1"/>
        <w:rPr>
          <w:rFonts w:ascii="Times New Roman" w:eastAsia="MS明朝" w:hAnsi="Times New Roman"/>
          <w:b/>
          <w:bCs/>
        </w:rPr>
      </w:pPr>
      <w:r w:rsidRPr="00EA1FE1">
        <w:rPr>
          <w:rFonts w:ascii="Times New Roman" w:eastAsia="MS明朝" w:hAnsi="Times New Roman"/>
          <w:b/>
          <w:bCs/>
        </w:rPr>
        <w:t>Abstract</w:t>
      </w:r>
    </w:p>
    <w:p w14:paraId="76272228" w14:textId="00FF9E12" w:rsidR="00BA26D5" w:rsidRPr="00EA1FE1" w:rsidRDefault="007B5A89" w:rsidP="00EA1FE1">
      <w:pPr>
        <w:rPr>
          <w:rFonts w:ascii="Times New Roman" w:eastAsia="MS明朝" w:hAnsi="Times New Roman"/>
        </w:rPr>
      </w:pPr>
      <w:r w:rsidRPr="007B5A89">
        <w:rPr>
          <w:rFonts w:ascii="Times New Roman" w:eastAsia="MS明朝" w:hAnsi="Times New Roman"/>
        </w:rPr>
        <w:t>This study investigates the structural vulnerabilities of non-standard and informal labor in rapidly urbanizing Jakarta, Indonesia, through the lens of intersectionality. Focusing on young female workers aged 15–26 employed in hospitality, service, and interpersonal sectors, the research is based on semi-structured interviews with 13 participants conducted in August 2025. The analysis reveals that the intersection of youth, gender, and rural origin intensifies economic, social, and institutional disadvantages—manifested as low wages, long working hours, lack of social protection, and social isolation. Piece-rate and tip-based payment systems decouple effort from income and heighten physical and psychological burdens. Nevertheless, narratives of pride in family support and aspirations for self-improvement indicate the presence of agency within precarity. These findings highlight that non-standard labor functions not merely as a “safety valve” for urban employment but as a structural mechanism reproducing inequality. Policy implications call for an integrated approach that enhances education and vocational training, ensures minimum remuneration across employment types, extends social insurance and grievance systems, and repositions “quality of work” as a core metric of sustainable urban development.</w:t>
      </w:r>
      <w:r w:rsidR="00BA26D5" w:rsidRPr="00EA1FE1">
        <w:rPr>
          <w:rFonts w:ascii="Times New Roman" w:eastAsia="MS明朝" w:hAnsi="Times New Roman"/>
        </w:rPr>
        <w:br w:type="page"/>
      </w:r>
    </w:p>
    <w:p w14:paraId="44ECE779" w14:textId="77777777" w:rsidR="00BA26D5" w:rsidRPr="00EA1FE1" w:rsidRDefault="00BA26D5" w:rsidP="00BA26D5">
      <w:pPr>
        <w:pStyle w:val="1"/>
        <w:rPr>
          <w:rFonts w:ascii="Times New Roman" w:eastAsia="MS明朝" w:hAnsi="Times New Roman"/>
          <w:b/>
          <w:bCs/>
        </w:rPr>
      </w:pPr>
      <w:r w:rsidRPr="00EA1FE1">
        <w:rPr>
          <w:rFonts w:ascii="Times New Roman" w:eastAsia="MS明朝" w:hAnsi="Times New Roman"/>
          <w:b/>
          <w:bCs/>
        </w:rPr>
        <w:t>序章　研究背景と目的</w:t>
      </w:r>
    </w:p>
    <w:p w14:paraId="3C5E752E" w14:textId="77777777" w:rsidR="00BA26D5" w:rsidRPr="00BA26D5" w:rsidRDefault="00BA26D5" w:rsidP="00BA26D5">
      <w:pPr>
        <w:ind w:firstLineChars="100" w:firstLine="210"/>
        <w:rPr>
          <w:rFonts w:ascii="Times New Roman" w:eastAsia="MS明朝" w:hAnsi="Times New Roman"/>
        </w:rPr>
      </w:pPr>
      <w:r w:rsidRPr="00BA26D5">
        <w:rPr>
          <w:rFonts w:ascii="Times New Roman" w:eastAsia="MS明朝" w:hAnsi="Times New Roman"/>
        </w:rPr>
        <w:t>インドネシアは、東南アジアの中でも都市化の進行がとりわけ顕著な国である。なかでも首都圏ジャボデタベックは、人口規模・経済規模の両面で突出しており、国全体の成長を牽引する中核的都市圏を形成している。都市化の進展は、産業の高度化や雇用の多様化をもたらす一方で、正規雇用へのアクセスが限られた人々を非正規・インフォーマル部門へと誘導し、結果として労働市場の二重構造を強化してきた。</w:t>
      </w:r>
    </w:p>
    <w:p w14:paraId="0EC22DDF" w14:textId="77777777" w:rsidR="00BA26D5" w:rsidRPr="00BA26D5" w:rsidRDefault="00BA26D5" w:rsidP="00BA26D5">
      <w:pPr>
        <w:ind w:firstLineChars="100" w:firstLine="210"/>
        <w:rPr>
          <w:rFonts w:ascii="Times New Roman" w:eastAsia="MS明朝" w:hAnsi="Times New Roman"/>
        </w:rPr>
      </w:pPr>
      <w:r w:rsidRPr="00BA26D5">
        <w:rPr>
          <w:rFonts w:ascii="Times New Roman" w:eastAsia="MS明朝" w:hAnsi="Times New Roman"/>
        </w:rPr>
        <w:t>とりわけ宿泊、飲食、小売、対人サービスなど、景気の影響を受けやすく需要変動の大きい部門では、企業がコストの弾力性を確保するために契約社員・日雇い・出来高制といった柔軟な雇用形態を拡張している。その結果、社会保護と昇進機会は正規部門に偏在し、非正規部門の労働者は長期的な安定や技能形成の機会から排除される傾向が強まっている。</w:t>
      </w:r>
    </w:p>
    <w:p w14:paraId="4A66746A" w14:textId="77777777" w:rsidR="00BA26D5" w:rsidRPr="00BA26D5" w:rsidRDefault="00BA26D5" w:rsidP="00BA26D5">
      <w:pPr>
        <w:ind w:firstLineChars="100" w:firstLine="210"/>
        <w:rPr>
          <w:rFonts w:ascii="Times New Roman" w:eastAsia="MS明朝" w:hAnsi="Times New Roman"/>
        </w:rPr>
      </w:pPr>
      <w:r w:rsidRPr="00BA26D5">
        <w:rPr>
          <w:rFonts w:ascii="Times New Roman" w:eastAsia="MS明朝" w:hAnsi="Times New Roman"/>
        </w:rPr>
        <w:t>こうした構造的圧力は、若年層・女性・地方出身者という三つの属性をもつ人々に集中的に作用する。若年であることは職務経験と交渉力の不足を意味し、女性であることは性別役割規範の内面化や補助的労働者モデルの定着と結びつく。さらに地方出身であることは、教育機会の制約や社会関係資本の希薄さを伴い、都市における支援ネットワークの欠如をもたらす。これらが重なり合うと、低賃金・長時間労働・社会保険未加入といった不利益が層状に現れ、生活上の脆弱性を固定化させる。</w:t>
      </w:r>
    </w:p>
    <w:p w14:paraId="6C0A0B83" w14:textId="3F26FD01" w:rsidR="00BA26D5" w:rsidRPr="00EA1FE1" w:rsidRDefault="00BA26D5" w:rsidP="00FF7AEA">
      <w:pPr>
        <w:ind w:firstLineChars="100" w:firstLine="210"/>
        <w:rPr>
          <w:rFonts w:ascii="Times New Roman" w:eastAsia="MS明朝" w:hAnsi="Times New Roman"/>
        </w:rPr>
      </w:pPr>
      <w:r w:rsidRPr="00BA26D5">
        <w:rPr>
          <w:rFonts w:ascii="Times New Roman" w:eastAsia="MS明朝" w:hAnsi="Times New Roman"/>
        </w:rPr>
        <w:t>本研究は、これら三属性</w:t>
      </w:r>
      <w:r w:rsidRPr="00EA1FE1">
        <w:rPr>
          <w:rFonts w:ascii="Times New Roman" w:eastAsia="MS明朝" w:hAnsi="Times New Roman" w:hint="eastAsia"/>
        </w:rPr>
        <w:t>を有する対象者の</w:t>
      </w:r>
      <w:r w:rsidRPr="00BA26D5">
        <w:rPr>
          <w:rFonts w:ascii="Times New Roman" w:eastAsia="MS明朝" w:hAnsi="Times New Roman"/>
        </w:rPr>
        <w:t>脆弱性を、都市経済の制度・文化・市場の接合部として捉え、その構造を質的データと記述統計の併用によって実証的に明らかにすることを目的とする。研究の意義は、経済成長の影に隠れがちな「労働の質」の問題を交差性の観点から可視化し、都市政策・労働政策・社会政策の設計原理に新たな視座を与える点にある。</w:t>
      </w:r>
    </w:p>
    <w:p w14:paraId="00162BD7" w14:textId="77777777" w:rsidR="00FF7AEA" w:rsidRPr="00EA1FE1" w:rsidRDefault="00FF7AEA" w:rsidP="00FF7AEA">
      <w:pPr>
        <w:ind w:firstLineChars="100" w:firstLine="210"/>
        <w:rPr>
          <w:rFonts w:ascii="Times New Roman" w:eastAsia="MS明朝" w:hAnsi="Times New Roman"/>
        </w:rPr>
      </w:pPr>
    </w:p>
    <w:p w14:paraId="4F78D4F6" w14:textId="77777777" w:rsidR="00BA26D5" w:rsidRPr="00EA1FE1" w:rsidRDefault="00BA26D5" w:rsidP="00BA26D5">
      <w:pPr>
        <w:pStyle w:val="1"/>
        <w:rPr>
          <w:rFonts w:ascii="Times New Roman" w:eastAsia="MS明朝" w:hAnsi="Times New Roman"/>
          <w:b/>
          <w:bCs/>
        </w:rPr>
      </w:pPr>
      <w:r w:rsidRPr="00EA1FE1">
        <w:rPr>
          <w:rFonts w:ascii="Times New Roman" w:eastAsia="MS明朝" w:hAnsi="Times New Roman"/>
          <w:b/>
          <w:bCs/>
        </w:rPr>
        <w:t>第</w:t>
      </w:r>
      <w:r w:rsidRPr="00EA1FE1">
        <w:rPr>
          <w:rFonts w:ascii="Times New Roman" w:eastAsia="MS明朝" w:hAnsi="Times New Roman"/>
          <w:b/>
          <w:bCs/>
        </w:rPr>
        <w:t>1</w:t>
      </w:r>
      <w:r w:rsidRPr="00EA1FE1">
        <w:rPr>
          <w:rFonts w:ascii="Times New Roman" w:eastAsia="MS明朝" w:hAnsi="Times New Roman"/>
          <w:b/>
          <w:bCs/>
        </w:rPr>
        <w:t>章　都市化とインフォーマル労働の構造</w:t>
      </w:r>
    </w:p>
    <w:p w14:paraId="322E31D2" w14:textId="6D34DE23" w:rsidR="00BA26D5" w:rsidRPr="00BA26D5" w:rsidRDefault="00BA26D5" w:rsidP="00BA26D5">
      <w:pPr>
        <w:ind w:firstLineChars="100" w:firstLine="210"/>
        <w:rPr>
          <w:rFonts w:ascii="Times New Roman" w:eastAsia="MS明朝" w:hAnsi="Times New Roman"/>
        </w:rPr>
      </w:pPr>
      <w:r w:rsidRPr="00BA26D5">
        <w:rPr>
          <w:rFonts w:ascii="Times New Roman" w:eastAsia="MS明朝" w:hAnsi="Times New Roman"/>
        </w:rPr>
        <w:t>都市化の進展は、産業構造の転換と切り離すことができない。輸出志向型工業化の深化とともに、ジャカルタ中心部では雇用の重心が製造業から宿泊、飲食、流通、観光、個人サービスへと移行しつつある。こうした産業シフトは、景気や需要の変動幅が大きい領域に労働力を再配置することを意味し、労働需要の安定性を根底から揺るがしている。</w:t>
      </w:r>
    </w:p>
    <w:p w14:paraId="313A1444" w14:textId="77777777" w:rsidR="00BA26D5" w:rsidRPr="00BA26D5" w:rsidRDefault="00BA26D5" w:rsidP="00BA26D5">
      <w:pPr>
        <w:ind w:firstLineChars="100" w:firstLine="210"/>
        <w:rPr>
          <w:rFonts w:ascii="Times New Roman" w:eastAsia="MS明朝" w:hAnsi="Times New Roman"/>
        </w:rPr>
      </w:pPr>
      <w:r w:rsidRPr="00BA26D5">
        <w:rPr>
          <w:rFonts w:ascii="Times New Roman" w:eastAsia="MS明朝" w:hAnsi="Times New Roman"/>
        </w:rPr>
        <w:t>企業は、需要ショックへの機動的対応を優先し、賃金コストの固定化を回避する雇用形態を選好するようになった。その結果、契約社員、短期雇用、出来高払いや歩合制、さらにはチップ収入に依存する報酬体系が急速に広がった。このような柔軟化は、短期的には雇用量の維持やマッチングの迅速化に一定の効果をもたらすが、その裏面では、所得の不確実性、解雇リスク、訓練機会の欠如、健康被害の私事化といったコストが労働者側に転嫁される構造が生じている。</w:t>
      </w:r>
    </w:p>
    <w:p w14:paraId="1C28396A" w14:textId="77777777" w:rsidR="00BA26D5" w:rsidRPr="00BA26D5" w:rsidRDefault="00BA26D5" w:rsidP="00BA26D5">
      <w:pPr>
        <w:ind w:firstLineChars="100" w:firstLine="210"/>
        <w:rPr>
          <w:rFonts w:ascii="Times New Roman" w:eastAsia="MS明朝" w:hAnsi="Times New Roman"/>
        </w:rPr>
      </w:pPr>
      <w:r w:rsidRPr="00BA26D5">
        <w:rPr>
          <w:rFonts w:ascii="Times New Roman" w:eastAsia="MS明朝" w:hAnsi="Times New Roman"/>
        </w:rPr>
        <w:t>制度的側面に目を向けると、最低賃金制度や労働法規そのものは整備されているものの、その適用前提は正規雇用に置かれており、非正規・インフォーマル部門には十分に及ばない。契約の口頭性や雇用関係の曖昧化、外注・下請けの多層構造は、責任の所在を不明瞭にし、権利救済へのアクセスを著しく制限している。社会保険制度もまた、雇用主を特定しにくい働き方には適合せず、結果として制度的空白が生じる。こうした空白は、都市労働市場における賃金・健康・安全の格差を累積させるとともに、労働者にとっての退出コストを高める方向に作用している。</w:t>
      </w:r>
    </w:p>
    <w:p w14:paraId="4E2F60A3" w14:textId="68489952" w:rsidR="00BA26D5" w:rsidRPr="00BA26D5" w:rsidRDefault="00BA26D5" w:rsidP="00BA26D5">
      <w:pPr>
        <w:ind w:firstLineChars="100" w:firstLine="210"/>
        <w:rPr>
          <w:rFonts w:ascii="Times New Roman" w:eastAsia="MS明朝" w:hAnsi="Times New Roman"/>
        </w:rPr>
      </w:pPr>
      <w:r w:rsidRPr="00BA26D5">
        <w:rPr>
          <w:rFonts w:ascii="Times New Roman" w:eastAsia="MS明朝" w:hAnsi="Times New Roman"/>
        </w:rPr>
        <w:t>さらに文化・規範の次元においては、家族責任の語りが労働継続の正当化根拠として機能し、性別役割規範が女性を「柔軟に使える労働力」として位置づける。</w:t>
      </w:r>
      <w:r w:rsidRPr="00EA1FE1">
        <w:rPr>
          <w:rFonts w:ascii="Times New Roman" w:eastAsia="MS明朝" w:hAnsi="Times New Roman" w:hint="eastAsia"/>
        </w:rPr>
        <w:t>結果的に</w:t>
      </w:r>
      <w:r w:rsidRPr="00BA26D5">
        <w:rPr>
          <w:rFonts w:ascii="Times New Roman" w:eastAsia="MS明朝" w:hAnsi="Times New Roman"/>
        </w:rPr>
        <w:t>、若年・女性・地方出身者が集中する職場ほど、労働時間に比して所得が低く、昇進や技能形成の機会が乏しいという構造が固定化されている。</w:t>
      </w:r>
    </w:p>
    <w:p w14:paraId="73053CFB" w14:textId="29270BAF" w:rsidR="00BA26D5" w:rsidRPr="00EA1FE1" w:rsidRDefault="00BA26D5" w:rsidP="00FF7AEA">
      <w:pPr>
        <w:ind w:firstLineChars="100" w:firstLine="210"/>
        <w:rPr>
          <w:rFonts w:ascii="Times New Roman" w:eastAsia="MS明朝" w:hAnsi="Times New Roman"/>
        </w:rPr>
      </w:pPr>
      <w:r w:rsidRPr="00BA26D5">
        <w:rPr>
          <w:rFonts w:ascii="Times New Roman" w:eastAsia="MS明朝" w:hAnsi="Times New Roman"/>
        </w:rPr>
        <w:t>このように、都市経済は不可視の労働に依存しながら、その労働を制度と文化の両面から周縁化するという逆説を内包している。都市の成長を支えるのは、まさにこの周縁化された労働であり、その不可視性こそが制度的再配分の視野から取りこぼされる最大の要因となっている。</w:t>
      </w:r>
    </w:p>
    <w:p w14:paraId="1A6EDAA2" w14:textId="77777777" w:rsidR="00FF7AEA" w:rsidRPr="00EA1FE1" w:rsidRDefault="00FF7AEA" w:rsidP="00FF7AEA">
      <w:pPr>
        <w:ind w:firstLineChars="100" w:firstLine="210"/>
        <w:rPr>
          <w:rFonts w:ascii="Times New Roman" w:eastAsia="MS明朝" w:hAnsi="Times New Roman"/>
        </w:rPr>
      </w:pPr>
    </w:p>
    <w:p w14:paraId="698ED08F" w14:textId="77777777" w:rsidR="00BA26D5" w:rsidRPr="00EA1FE1" w:rsidRDefault="00BA26D5" w:rsidP="00BA26D5">
      <w:pPr>
        <w:pStyle w:val="1"/>
        <w:rPr>
          <w:rFonts w:ascii="Times New Roman" w:eastAsia="MS明朝" w:hAnsi="Times New Roman"/>
          <w:b/>
          <w:bCs/>
        </w:rPr>
      </w:pPr>
      <w:r w:rsidRPr="00EA1FE1">
        <w:rPr>
          <w:rFonts w:ascii="Times New Roman" w:eastAsia="MS明朝" w:hAnsi="Times New Roman"/>
          <w:b/>
          <w:bCs/>
        </w:rPr>
        <w:t>第</w:t>
      </w:r>
      <w:r w:rsidRPr="00EA1FE1">
        <w:rPr>
          <w:rFonts w:ascii="Times New Roman" w:eastAsia="MS明朝" w:hAnsi="Times New Roman"/>
          <w:b/>
          <w:bCs/>
        </w:rPr>
        <w:t>2</w:t>
      </w:r>
      <w:r w:rsidRPr="00EA1FE1">
        <w:rPr>
          <w:rFonts w:ascii="Times New Roman" w:eastAsia="MS明朝" w:hAnsi="Times New Roman"/>
          <w:b/>
          <w:bCs/>
        </w:rPr>
        <w:t>章　先行研究と理論的枠組み</w:t>
      </w:r>
    </w:p>
    <w:p w14:paraId="4DAACC7A" w14:textId="77777777"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労働市場の柔軟化をめぐる理論は、常に効率性と公正性という二つの原理のあいだに横たわる緊張関係を抱えてきた。二重労働市場論はその典型であり、技能蓄積・社内訓練・昇進機会・福利厚生が制度的に保証される内部労働市場と、低賃金・不安定・訓練機会の欠如が常態化する外部労働市場との対比を提示してきた。これに対し、都市移住モデルは、農村と都市のあいだに存在する期待賃金の格差が移住を誘発する一方、正規雇用の希少性ゆえに多くの移住者が非正規部門に滞留せざるを得ない構造を描き出している。すなわち、インフォーマル部門は雇用吸収の「安全弁」として機能しながらも、長期的には賃金形成と技能形成の両面において格差を固定化する装置となりうる。</w:t>
      </w:r>
    </w:p>
    <w:p w14:paraId="2C733E16" w14:textId="77777777"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フェミニスト経済学および社会学の知見は、家族責任の内面化や性別役割規範が女性の就労選好と交渉力を制約し、補助的労働者モデルを通じて低賃金・不安定性が再生産されるメカニズムを明らかにしてきた。さらに、交差性（</w:t>
      </w:r>
      <w:r w:rsidRPr="00FF7AEA">
        <w:rPr>
          <w:rFonts w:ascii="Times New Roman" w:eastAsia="MS明朝" w:hAnsi="Times New Roman"/>
        </w:rPr>
        <w:t>intersectionality</w:t>
      </w:r>
      <w:r w:rsidRPr="00FF7AEA">
        <w:rPr>
          <w:rFonts w:ascii="Times New Roman" w:eastAsia="MS明朝" w:hAnsi="Times New Roman"/>
        </w:rPr>
        <w:t>）の視角は、年齢・ジェンダー・出身地など複数の属性が同時に作用し、不利益や排除が累積・増幅される過程を捉える上で重要な理論的装置を提供する。これは、単一の属性に基づく説明を超え、制度・文化・市場がどのように結びつき、脆弱性を生成するのかを明示する枠組みである。</w:t>
      </w:r>
    </w:p>
    <w:p w14:paraId="5C219CB2" w14:textId="77777777"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東南アジアにおける女性移住労働の研究も、この交差的視点の重要性を示唆している。同郷ネットワークが就業機会への入口を提供する一方で、その非公式性が制度的保護へのアクセスを阻むという二面性がしばしば報告されてきた。こうした状況は、雇用機会の確保と社会的保護の欠如が表裏一体であることを物語っている。</w:t>
      </w:r>
    </w:p>
    <w:p w14:paraId="1085362E" w14:textId="77777777"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本研究は、これらの理論的知見を統合し、交差性を基軸として非正規労働に内在する脆弱性を分析する。具体的には、若年ゆえの経験不足、女性ゆえの規範的期待、そして地方出身ゆえの関係資本の希薄さが、制度的周縁化と結びつき、退出コストと依存度を同時に高めるプロセスを明らかにする。すなわち、柔軟性の名の下に拡張する非正規労働は、短期的な自由度と引き換えに、長期的な選択肢の狭隘化をもたらす構造的パラドックスを内包している。</w:t>
      </w:r>
    </w:p>
    <w:p w14:paraId="39C07C0B" w14:textId="77777777" w:rsidR="00FF7AEA" w:rsidRPr="00EA1FE1" w:rsidRDefault="00FF7AEA" w:rsidP="00FF7AEA">
      <w:pPr>
        <w:rPr>
          <w:rFonts w:ascii="Times New Roman" w:eastAsia="MS明朝" w:hAnsi="Times New Roman"/>
        </w:rPr>
      </w:pPr>
    </w:p>
    <w:p w14:paraId="26E3ED12" w14:textId="77777777" w:rsidR="00BA26D5" w:rsidRPr="00EA1FE1" w:rsidRDefault="00BA26D5" w:rsidP="00BA26D5">
      <w:pPr>
        <w:pStyle w:val="1"/>
        <w:rPr>
          <w:rFonts w:ascii="Times New Roman" w:eastAsia="MS明朝" w:hAnsi="Times New Roman"/>
          <w:b/>
          <w:bCs/>
        </w:rPr>
      </w:pPr>
      <w:r w:rsidRPr="00EA1FE1">
        <w:rPr>
          <w:rFonts w:ascii="Times New Roman" w:eastAsia="MS明朝" w:hAnsi="Times New Roman"/>
          <w:b/>
          <w:bCs/>
        </w:rPr>
        <w:t>第</w:t>
      </w:r>
      <w:r w:rsidRPr="00EA1FE1">
        <w:rPr>
          <w:rFonts w:ascii="Times New Roman" w:eastAsia="MS明朝" w:hAnsi="Times New Roman"/>
          <w:b/>
          <w:bCs/>
        </w:rPr>
        <w:t>3</w:t>
      </w:r>
      <w:r w:rsidRPr="00EA1FE1">
        <w:rPr>
          <w:rFonts w:ascii="Times New Roman" w:eastAsia="MS明朝" w:hAnsi="Times New Roman"/>
          <w:b/>
          <w:bCs/>
        </w:rPr>
        <w:t>章　調査設計と分析方法</w:t>
      </w:r>
    </w:p>
    <w:p w14:paraId="12D6DCC5" w14:textId="71669E0D"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本研究は、ジャカルタ特別州およびその周辺都市であるデポック、タンゲラン、ブカシを含むジャボデタベック圏を調査対象とした。</w:t>
      </w:r>
      <w:r w:rsidR="00790F19">
        <w:rPr>
          <w:rFonts w:ascii="Times New Roman" w:eastAsia="MS明朝" w:hAnsi="Times New Roman" w:hint="eastAsia"/>
        </w:rPr>
        <w:t>セックスワーカー</w:t>
      </w:r>
      <w:r w:rsidR="00C64708">
        <w:rPr>
          <w:rFonts w:ascii="Times New Roman" w:eastAsia="MS明朝" w:hAnsi="Times New Roman" w:hint="eastAsia"/>
        </w:rPr>
        <w:t>の</w:t>
      </w:r>
      <w:r w:rsidRPr="00FF7AEA">
        <w:rPr>
          <w:rFonts w:ascii="Times New Roman" w:eastAsia="MS明朝" w:hAnsi="Times New Roman"/>
        </w:rPr>
        <w:t>15</w:t>
      </w:r>
      <w:r w:rsidRPr="00FF7AEA">
        <w:rPr>
          <w:rFonts w:ascii="Times New Roman" w:eastAsia="MS明朝" w:hAnsi="Times New Roman"/>
        </w:rPr>
        <w:t>〜</w:t>
      </w:r>
      <w:r w:rsidRPr="00FF7AEA">
        <w:rPr>
          <w:rFonts w:ascii="Times New Roman" w:eastAsia="MS明朝" w:hAnsi="Times New Roman"/>
        </w:rPr>
        <w:t>26</w:t>
      </w:r>
      <w:r w:rsidRPr="00FF7AEA">
        <w:rPr>
          <w:rFonts w:ascii="Times New Roman" w:eastAsia="MS明朝" w:hAnsi="Times New Roman"/>
        </w:rPr>
        <w:t>歳の女性</w:t>
      </w:r>
      <w:r w:rsidRPr="00FF7AEA">
        <w:rPr>
          <w:rFonts w:ascii="Times New Roman" w:eastAsia="MS明朝" w:hAnsi="Times New Roman"/>
        </w:rPr>
        <w:t>13</w:t>
      </w:r>
      <w:r w:rsidRPr="00FF7AEA">
        <w:rPr>
          <w:rFonts w:ascii="Times New Roman" w:eastAsia="MS明朝" w:hAnsi="Times New Roman"/>
        </w:rPr>
        <w:t>名を対象に、</w:t>
      </w:r>
      <w:r w:rsidRPr="00FF7AEA">
        <w:rPr>
          <w:rFonts w:ascii="Times New Roman" w:eastAsia="MS明朝" w:hAnsi="Times New Roman"/>
        </w:rPr>
        <w:t>2025</w:t>
      </w:r>
      <w:r w:rsidRPr="00FF7AEA">
        <w:rPr>
          <w:rFonts w:ascii="Times New Roman" w:eastAsia="MS明朝" w:hAnsi="Times New Roman"/>
        </w:rPr>
        <w:t>年</w:t>
      </w:r>
      <w:r w:rsidRPr="00FF7AEA">
        <w:rPr>
          <w:rFonts w:ascii="Times New Roman" w:eastAsia="MS明朝" w:hAnsi="Times New Roman"/>
        </w:rPr>
        <w:t>8</w:t>
      </w:r>
      <w:r w:rsidRPr="00FF7AEA">
        <w:rPr>
          <w:rFonts w:ascii="Times New Roman" w:eastAsia="MS明朝" w:hAnsi="Times New Roman"/>
        </w:rPr>
        <w:t>月</w:t>
      </w:r>
      <w:r w:rsidRPr="00FF7AEA">
        <w:rPr>
          <w:rFonts w:ascii="Times New Roman" w:eastAsia="MS明朝" w:hAnsi="Times New Roman"/>
        </w:rPr>
        <w:t>21</w:t>
      </w:r>
      <w:r w:rsidRPr="00FF7AEA">
        <w:rPr>
          <w:rFonts w:ascii="Times New Roman" w:eastAsia="MS明朝" w:hAnsi="Times New Roman"/>
        </w:rPr>
        <w:t>日から</w:t>
      </w:r>
      <w:r w:rsidRPr="00FF7AEA">
        <w:rPr>
          <w:rFonts w:ascii="Times New Roman" w:eastAsia="MS明朝" w:hAnsi="Times New Roman"/>
        </w:rPr>
        <w:t>24</w:t>
      </w:r>
      <w:r w:rsidRPr="00FF7AEA">
        <w:rPr>
          <w:rFonts w:ascii="Times New Roman" w:eastAsia="MS明朝" w:hAnsi="Times New Roman"/>
        </w:rPr>
        <w:t>日にかけて半構造化インタビューを実施した。</w:t>
      </w:r>
    </w:p>
    <w:p w14:paraId="57E01A40" w14:textId="6EB23074"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質問項目は、年齢、出身地、学歴、就労期間、労働時間、休日の有無、報酬形態（出来高・チップ・日給）、月収、社会保険加入の有無、就労動機、家族構成、生活費、労働環境、安全衛生、身体的リスクなど、多層的な生活条件を把握できるよう設計した。インタビューは現地語で実施し、逐次</w:t>
      </w:r>
      <w:r w:rsidR="00BD49A8">
        <w:rPr>
          <w:rFonts w:ascii="Times New Roman" w:eastAsia="MS明朝" w:hAnsi="Times New Roman" w:hint="eastAsia"/>
        </w:rPr>
        <w:t>翻訳</w:t>
      </w:r>
      <w:r w:rsidRPr="00FF7AEA">
        <w:rPr>
          <w:rFonts w:ascii="Times New Roman" w:eastAsia="MS明朝" w:hAnsi="Times New Roman"/>
        </w:rPr>
        <w:t>を介して録音・記録した後、逐語化して日本語に翻訳した。調査対象者には、調査目的と匿名化の手続きについて十分に説明し、文書または口頭での同意を得た。</w:t>
      </w:r>
    </w:p>
    <w:p w14:paraId="4B5BFB4A" w14:textId="77777777"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サンプリングは便宜抽出に近く、特定の業種および年齢層に偏りがある。そのため外的妥当性には限界があるが、本研究の目的は統計的推論ではなく、脆弱性がどのように生成されるかという過程を語りのレベルで可視化することにある。すなわち、数量的代表性よりも、構造的経験の深層を描き出すことを重視した。</w:t>
      </w:r>
    </w:p>
    <w:p w14:paraId="22C43142" w14:textId="77777777"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分析は二段階で行った。第一段階では、労働時間、休日、報酬形態、学歴、出身地といった基礎属性の記述統計を作成し、全体の傾向を把握した。第二段階では、逐語記録をもとに内容分析を実施し、語りに現れる主要主題として「家族責任」「雇用の不安定性」「身体的負担」「社会的孤立」「将来志向」の五つを抽出した。</w:t>
      </w:r>
    </w:p>
    <w:p w14:paraId="3542F7DD" w14:textId="7785AD5B" w:rsidR="00FF7AEA" w:rsidRDefault="00FF7AEA" w:rsidP="00A50380">
      <w:pPr>
        <w:ind w:firstLineChars="100" w:firstLine="210"/>
        <w:rPr>
          <w:rFonts w:ascii="Times New Roman" w:eastAsia="MS明朝" w:hAnsi="Times New Roman"/>
        </w:rPr>
      </w:pPr>
      <w:r w:rsidRPr="00FF7AEA">
        <w:rPr>
          <w:rFonts w:ascii="Times New Roman" w:eastAsia="MS明朝" w:hAnsi="Times New Roman"/>
        </w:rPr>
        <w:t>信頼性の確保</w:t>
      </w:r>
      <w:r w:rsidRPr="00EA1FE1">
        <w:rPr>
          <w:rFonts w:ascii="Times New Roman" w:eastAsia="MS明朝" w:hAnsi="Times New Roman" w:hint="eastAsia"/>
        </w:rPr>
        <w:t>として</w:t>
      </w:r>
      <w:r w:rsidRPr="00FF7AEA">
        <w:rPr>
          <w:rFonts w:ascii="Times New Roman" w:eastAsia="MS明朝" w:hAnsi="Times New Roman"/>
        </w:rPr>
        <w:t>、調査者は各面接直後に分析メモを作成し、文脈、感情、非言語的な反応を含む補足的情報を記録した。翻訳過程では、語りのニュアンスが失われるおそれがあるため、原文、逐語記録、訳文を往復参照し、解釈に揺らぎが生じやすい箇所には原語を併記した。倫理的配慮として、未成年者への質問は労働環境および経済状況に限定し、心理的負担の高いテーマは避けた。</w:t>
      </w:r>
    </w:p>
    <w:p w14:paraId="110A8D54" w14:textId="77777777" w:rsidR="00BA26D5" w:rsidRPr="00EA1FE1" w:rsidRDefault="00BA26D5" w:rsidP="00BA26D5">
      <w:pPr>
        <w:pStyle w:val="1"/>
        <w:rPr>
          <w:rFonts w:ascii="Times New Roman" w:eastAsia="MS明朝" w:hAnsi="Times New Roman"/>
          <w:b/>
          <w:bCs/>
        </w:rPr>
      </w:pPr>
      <w:r w:rsidRPr="00EA1FE1">
        <w:rPr>
          <w:rFonts w:ascii="Times New Roman" w:eastAsia="MS明朝" w:hAnsi="Times New Roman"/>
          <w:b/>
          <w:bCs/>
        </w:rPr>
        <w:t>第</w:t>
      </w:r>
      <w:r w:rsidRPr="00EA1FE1">
        <w:rPr>
          <w:rFonts w:ascii="Times New Roman" w:eastAsia="MS明朝" w:hAnsi="Times New Roman"/>
          <w:b/>
          <w:bCs/>
        </w:rPr>
        <w:t>4</w:t>
      </w:r>
      <w:r w:rsidRPr="00EA1FE1">
        <w:rPr>
          <w:rFonts w:ascii="Times New Roman" w:eastAsia="MS明朝" w:hAnsi="Times New Roman"/>
          <w:b/>
          <w:bCs/>
        </w:rPr>
        <w:t>章　実証結果と考察</w:t>
      </w:r>
    </w:p>
    <w:p w14:paraId="5B0E0182" w14:textId="77777777" w:rsidR="00FF7AEA" w:rsidRPr="00EA1FE1" w:rsidRDefault="00FF7AEA" w:rsidP="00FF7AEA">
      <w:pPr>
        <w:pStyle w:val="2"/>
        <w:rPr>
          <w:rFonts w:ascii="Times New Roman" w:eastAsia="MS明朝" w:hAnsi="Times New Roman"/>
          <w:b/>
          <w:bCs/>
        </w:rPr>
      </w:pPr>
      <w:r w:rsidRPr="00EA1FE1">
        <w:rPr>
          <w:rFonts w:ascii="Times New Roman" w:eastAsia="MS明朝" w:hAnsi="Times New Roman"/>
          <w:b/>
          <w:bCs/>
        </w:rPr>
        <w:t>4.1</w:t>
      </w:r>
      <w:r w:rsidRPr="00EA1FE1">
        <w:rPr>
          <w:rFonts w:ascii="Times New Roman" w:eastAsia="MS明朝" w:hAnsi="Times New Roman"/>
          <w:b/>
          <w:bCs/>
        </w:rPr>
        <w:t xml:space="preserve">　基礎属性の概要</w:t>
      </w:r>
    </w:p>
    <w:p w14:paraId="73026582" w14:textId="453D485D" w:rsidR="00FF7AEA" w:rsidRPr="00FF7AEA" w:rsidRDefault="00FF7AEA" w:rsidP="00FF7AEA">
      <w:pPr>
        <w:rPr>
          <w:rFonts w:ascii="Times New Roman" w:eastAsia="MS明朝" w:hAnsi="Times New Roman"/>
        </w:rPr>
      </w:pPr>
      <w:r w:rsidRPr="00FF7AEA">
        <w:rPr>
          <w:rFonts w:ascii="Times New Roman" w:eastAsia="MS明朝" w:hAnsi="Times New Roman"/>
        </w:rPr>
        <w:t>対象者の年齢は</w:t>
      </w:r>
      <w:r w:rsidRPr="00FF7AEA">
        <w:rPr>
          <w:rFonts w:ascii="Times New Roman" w:eastAsia="MS明朝" w:hAnsi="Times New Roman"/>
        </w:rPr>
        <w:t>15</w:t>
      </w:r>
      <w:r w:rsidRPr="00FF7AEA">
        <w:rPr>
          <w:rFonts w:ascii="Times New Roman" w:eastAsia="MS明朝" w:hAnsi="Times New Roman"/>
        </w:rPr>
        <w:t>〜</w:t>
      </w:r>
      <w:r w:rsidRPr="00FF7AEA">
        <w:rPr>
          <w:rFonts w:ascii="Times New Roman" w:eastAsia="MS明朝" w:hAnsi="Times New Roman"/>
        </w:rPr>
        <w:t>26</w:t>
      </w:r>
      <w:r w:rsidRPr="00FF7AEA">
        <w:rPr>
          <w:rFonts w:ascii="Times New Roman" w:eastAsia="MS明朝" w:hAnsi="Times New Roman"/>
        </w:rPr>
        <w:t>歳に分布し、その過半は</w:t>
      </w:r>
      <w:r w:rsidRPr="00FF7AEA">
        <w:rPr>
          <w:rFonts w:ascii="Times New Roman" w:eastAsia="MS明朝" w:hAnsi="Times New Roman"/>
        </w:rPr>
        <w:t>19</w:t>
      </w:r>
      <w:r w:rsidRPr="00FF7AEA">
        <w:rPr>
          <w:rFonts w:ascii="Times New Roman" w:eastAsia="MS明朝" w:hAnsi="Times New Roman"/>
        </w:rPr>
        <w:t>歳以下であった。就労期間は短期に集中しており、二週間未満や一か月以内の就労が多数を占める。労働時間は平均して長く、</w:t>
      </w:r>
      <w:r w:rsidRPr="00FF7AEA">
        <w:rPr>
          <w:rFonts w:ascii="Times New Roman" w:eastAsia="MS明朝" w:hAnsi="Times New Roman"/>
        </w:rPr>
        <w:t>10</w:t>
      </w:r>
      <w:r w:rsidRPr="00FF7AEA">
        <w:rPr>
          <w:rFonts w:ascii="Times New Roman" w:eastAsia="MS明朝" w:hAnsi="Times New Roman"/>
        </w:rPr>
        <w:t>時間を超える者が目立つ。休日は週</w:t>
      </w:r>
      <w:r w:rsidRPr="00FF7AEA">
        <w:rPr>
          <w:rFonts w:ascii="Times New Roman" w:eastAsia="MS明朝" w:hAnsi="Times New Roman"/>
        </w:rPr>
        <w:t>1</w:t>
      </w:r>
      <w:r w:rsidRPr="00FF7AEA">
        <w:rPr>
          <w:rFonts w:ascii="Times New Roman" w:eastAsia="MS明朝" w:hAnsi="Times New Roman"/>
        </w:rPr>
        <w:t>回以下、あるいはほとんど存在しないという回答が一般的である。</w:t>
      </w:r>
    </w:p>
    <w:p w14:paraId="3DFD1C52" w14:textId="77777777" w:rsidR="00FF7AEA" w:rsidRPr="00FF7AEA" w:rsidRDefault="00FF7AEA" w:rsidP="00FF7AEA">
      <w:pPr>
        <w:rPr>
          <w:rFonts w:ascii="Times New Roman" w:eastAsia="MS明朝" w:hAnsi="Times New Roman"/>
        </w:rPr>
      </w:pPr>
      <w:r w:rsidRPr="00FF7AEA">
        <w:rPr>
          <w:rFonts w:ascii="Times New Roman" w:eastAsia="MS明朝" w:hAnsi="Times New Roman"/>
        </w:rPr>
        <w:t>報酬形態は出来高制およびチップ制が中心であり、日給制も一部で確認された。月収は概ね</w:t>
      </w:r>
      <w:r w:rsidRPr="00FF7AEA">
        <w:rPr>
          <w:rFonts w:ascii="Times New Roman" w:eastAsia="MS明朝" w:hAnsi="Times New Roman"/>
        </w:rPr>
        <w:t>300</w:t>
      </w:r>
      <w:r w:rsidRPr="00FF7AEA">
        <w:rPr>
          <w:rFonts w:ascii="Times New Roman" w:eastAsia="MS明朝" w:hAnsi="Times New Roman"/>
        </w:rPr>
        <w:t>万〜</w:t>
      </w:r>
      <w:r w:rsidRPr="00FF7AEA">
        <w:rPr>
          <w:rFonts w:ascii="Times New Roman" w:eastAsia="MS明朝" w:hAnsi="Times New Roman"/>
        </w:rPr>
        <w:t>500</w:t>
      </w:r>
      <w:r w:rsidRPr="00FF7AEA">
        <w:rPr>
          <w:rFonts w:ascii="Times New Roman" w:eastAsia="MS明朝" w:hAnsi="Times New Roman"/>
        </w:rPr>
        <w:t>万ルピアの範囲に分布するが、地域最低賃金を下回る者が多数を占める。社会保険（</w:t>
      </w:r>
      <w:r w:rsidRPr="00FF7AEA">
        <w:rPr>
          <w:rFonts w:ascii="Times New Roman" w:eastAsia="MS明朝" w:hAnsi="Times New Roman"/>
        </w:rPr>
        <w:t>BPJS</w:t>
      </w:r>
      <w:r w:rsidRPr="00FF7AEA">
        <w:rPr>
          <w:rFonts w:ascii="Times New Roman" w:eastAsia="MS明朝" w:hAnsi="Times New Roman"/>
        </w:rPr>
        <w:t>）への加入者は確認されず、健康・事故リスクに対する制度的補償はほぼ欠如している。学歴面では、中等教育段階での離学が多く、教育機会の制約が早期の労働市場参入を促している様子がうかがえる。</w:t>
      </w:r>
    </w:p>
    <w:p w14:paraId="32344570" w14:textId="77777777" w:rsidR="00FF7AEA" w:rsidRPr="00FF7AEA" w:rsidRDefault="00FF7AEA" w:rsidP="00FF7AEA">
      <w:pPr>
        <w:rPr>
          <w:rFonts w:ascii="Times New Roman" w:eastAsia="MS明朝" w:hAnsi="Times New Roman"/>
        </w:rPr>
      </w:pPr>
      <w:r w:rsidRPr="00FF7AEA">
        <w:rPr>
          <w:rFonts w:ascii="Times New Roman" w:eastAsia="MS明朝" w:hAnsi="Times New Roman"/>
        </w:rPr>
        <w:t>労働時間と所得の間に明確な比例関係は見られない。出来高制やチップ依存のため、収入は客数やチップ慣行といった外的要因に左右され、時間投入が必ずしも所得に反映されない構造となっている。地方出身者は長時間労働と低所得の傾向が顕著であり、家族への送金や家計補助の責任が就労継続の拘束要因として作用している。これに対し、都市出身者は教育水準が相対的に高く、雇用主との交渉力も強いため、労働条件面での不利は比較的小さい。</w:t>
      </w:r>
    </w:p>
    <w:p w14:paraId="51A6C66E" w14:textId="0C17C6CE" w:rsidR="00FF7AEA" w:rsidRPr="00EA1FE1" w:rsidRDefault="00FF7AEA" w:rsidP="00FF7AEA">
      <w:pPr>
        <w:pStyle w:val="2"/>
        <w:rPr>
          <w:rFonts w:ascii="Times New Roman" w:eastAsia="MS明朝" w:hAnsi="Times New Roman"/>
          <w:b/>
          <w:bCs/>
        </w:rPr>
      </w:pPr>
      <w:r w:rsidRPr="00EA1FE1">
        <w:rPr>
          <w:rFonts w:ascii="Times New Roman" w:eastAsia="MS明朝" w:hAnsi="Times New Roman"/>
          <w:b/>
          <w:bCs/>
        </w:rPr>
        <w:t>4.2</w:t>
      </w:r>
      <w:r w:rsidRPr="00EA1FE1">
        <w:rPr>
          <w:rFonts w:ascii="Times New Roman" w:eastAsia="MS明朝" w:hAnsi="Times New Roman"/>
          <w:b/>
          <w:bCs/>
        </w:rPr>
        <w:t xml:space="preserve">　語りの主題分析</w:t>
      </w:r>
    </w:p>
    <w:p w14:paraId="7C5665EB" w14:textId="77777777" w:rsidR="00FF7AEA" w:rsidRPr="00FF7AEA" w:rsidRDefault="00FF7AEA" w:rsidP="00FF7AEA">
      <w:pPr>
        <w:rPr>
          <w:rFonts w:ascii="Times New Roman" w:eastAsia="MS明朝" w:hAnsi="Times New Roman"/>
        </w:rPr>
      </w:pPr>
      <w:r w:rsidRPr="00FF7AEA">
        <w:rPr>
          <w:rFonts w:ascii="Times New Roman" w:eastAsia="MS明朝" w:hAnsi="Times New Roman"/>
        </w:rPr>
        <w:t>語りの分析からは、以下の五つの主題が抽出された。</w:t>
      </w:r>
    </w:p>
    <w:p w14:paraId="5C46DBA2" w14:textId="2564B1B7" w:rsidR="00FF7AEA" w:rsidRPr="00EA1FE1" w:rsidRDefault="00FF7AEA" w:rsidP="00FF7AEA">
      <w:pPr>
        <w:pStyle w:val="a9"/>
        <w:numPr>
          <w:ilvl w:val="0"/>
          <w:numId w:val="43"/>
        </w:numPr>
        <w:rPr>
          <w:rFonts w:ascii="Times New Roman" w:eastAsia="MS明朝" w:hAnsi="Times New Roman"/>
          <w:b/>
          <w:bCs/>
        </w:rPr>
      </w:pPr>
      <w:r w:rsidRPr="00EA1FE1">
        <w:rPr>
          <w:rFonts w:ascii="Times New Roman" w:eastAsia="MS明朝" w:hAnsi="Times New Roman"/>
          <w:b/>
          <w:bCs/>
        </w:rPr>
        <w:t>家族責任の内面化</w:t>
      </w:r>
    </w:p>
    <w:p w14:paraId="1990E0C9" w14:textId="12C2F53D" w:rsidR="00FF7AEA" w:rsidRPr="00EA1FE1" w:rsidRDefault="00FF7AEA" w:rsidP="00FF7AEA">
      <w:pPr>
        <w:rPr>
          <w:rFonts w:ascii="Times New Roman" w:eastAsia="MS明朝" w:hAnsi="Times New Roman"/>
        </w:rPr>
      </w:pPr>
      <w:r w:rsidRPr="00EA1FE1">
        <w:rPr>
          <w:rFonts w:ascii="Times New Roman" w:eastAsia="MS明朝" w:hAnsi="Times New Roman"/>
        </w:rPr>
        <w:t>多くの語りにおいて、家族の生活費や弟妹の学費を支えることが就労の第一義的目的として語られた。こうした家族責任は、労働継続の規範的根拠であると同時に、職場からの退出を難しくする拘束装置として作用している。</w:t>
      </w:r>
    </w:p>
    <w:p w14:paraId="2F5E1D72" w14:textId="65F81B0D" w:rsidR="00FF7AEA" w:rsidRPr="00EA1FE1" w:rsidRDefault="00FF7AEA" w:rsidP="00FF7AEA">
      <w:pPr>
        <w:pStyle w:val="a9"/>
        <w:numPr>
          <w:ilvl w:val="0"/>
          <w:numId w:val="43"/>
        </w:numPr>
        <w:rPr>
          <w:rFonts w:ascii="Times New Roman" w:eastAsia="MS明朝" w:hAnsi="Times New Roman"/>
          <w:b/>
          <w:bCs/>
        </w:rPr>
      </w:pPr>
      <w:r w:rsidRPr="00EA1FE1">
        <w:rPr>
          <w:rFonts w:ascii="Times New Roman" w:eastAsia="MS明朝" w:hAnsi="Times New Roman"/>
          <w:b/>
          <w:bCs/>
        </w:rPr>
        <w:t>雇用の不安定性</w:t>
      </w:r>
      <w:r w:rsidRPr="00EA1FE1">
        <w:rPr>
          <w:rFonts w:ascii="Times New Roman" w:eastAsia="MS明朝" w:hAnsi="Times New Roman" w:hint="eastAsia"/>
          <w:b/>
          <w:bCs/>
        </w:rPr>
        <w:t xml:space="preserve">　</w:t>
      </w:r>
    </w:p>
    <w:p w14:paraId="660C2E99" w14:textId="08B553D7"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雇用契約の短期性と、客の入りやチップ収入に依存する報酬構造により、所得は日々変動し、生活の予見可能性が損なわれている。労働者たちは「翌月働けるか分からない」という不確実性の中で、支出と生活を調整せざるをえない。</w:t>
      </w:r>
    </w:p>
    <w:p w14:paraId="2F861E8B" w14:textId="4D9744DA" w:rsidR="00FF7AEA" w:rsidRPr="00EA1FE1" w:rsidRDefault="00FF7AEA" w:rsidP="00FF7AEA">
      <w:pPr>
        <w:pStyle w:val="a9"/>
        <w:numPr>
          <w:ilvl w:val="0"/>
          <w:numId w:val="43"/>
        </w:numPr>
        <w:rPr>
          <w:rFonts w:ascii="Times New Roman" w:eastAsia="MS明朝" w:hAnsi="Times New Roman"/>
          <w:b/>
          <w:bCs/>
        </w:rPr>
      </w:pPr>
      <w:r w:rsidRPr="00EA1FE1">
        <w:rPr>
          <w:rFonts w:ascii="Times New Roman" w:eastAsia="MS明朝" w:hAnsi="Times New Roman"/>
          <w:b/>
          <w:bCs/>
        </w:rPr>
        <w:t>身体的負担と健康リスク</w:t>
      </w:r>
    </w:p>
    <w:p w14:paraId="7C648A88" w14:textId="3D423207" w:rsidR="00FF7AEA" w:rsidRPr="00FF7AEA" w:rsidRDefault="00FF7AEA" w:rsidP="00FF7AEA">
      <w:pPr>
        <w:ind w:firstLineChars="100" w:firstLine="210"/>
        <w:rPr>
          <w:rFonts w:ascii="Times New Roman" w:eastAsia="MS明朝" w:hAnsi="Times New Roman"/>
          <w:b/>
          <w:bCs/>
        </w:rPr>
      </w:pPr>
      <w:r w:rsidRPr="00FF7AEA">
        <w:rPr>
          <w:rFonts w:ascii="Times New Roman" w:eastAsia="MS明朝" w:hAnsi="Times New Roman"/>
        </w:rPr>
        <w:t>立ち仕事や夜勤、休憩の少なさが慢性的な疲労を生み、腰痛や頭痛、睡眠不足といった身体的影響が報告された。しかし医療費の負担や勤務スケジュールの制約、保険未加入といった要因から、治療や休養を取れず自己対処に依存する傾向が強い。</w:t>
      </w:r>
    </w:p>
    <w:p w14:paraId="20B4E815" w14:textId="5EC811DC" w:rsidR="00FF7AEA" w:rsidRPr="00EA1FE1" w:rsidRDefault="00FF7AEA" w:rsidP="00FF7AEA">
      <w:pPr>
        <w:pStyle w:val="a9"/>
        <w:numPr>
          <w:ilvl w:val="0"/>
          <w:numId w:val="43"/>
        </w:numPr>
        <w:rPr>
          <w:rFonts w:ascii="Times New Roman" w:eastAsia="MS明朝" w:hAnsi="Times New Roman"/>
          <w:b/>
          <w:bCs/>
        </w:rPr>
      </w:pPr>
      <w:r w:rsidRPr="00EA1FE1">
        <w:rPr>
          <w:rFonts w:ascii="Times New Roman" w:eastAsia="MS明朝" w:hAnsi="Times New Roman"/>
          <w:b/>
          <w:bCs/>
        </w:rPr>
        <w:t>社会的孤立と支援ネットワークの欠如</w:t>
      </w:r>
    </w:p>
    <w:p w14:paraId="38237346" w14:textId="1BA193EF"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地方出身者を中心に、都市部での人的ネットワークが希薄である。相談や支援を求めるルートが見えにくく、労働問題や健康被害を抱え込む傾向がみられた。職場内の関係も流動的で、感情的な支えを得にくい環境が形成されている。</w:t>
      </w:r>
    </w:p>
    <w:p w14:paraId="45632158" w14:textId="3E7CEC89" w:rsidR="00FF7AEA" w:rsidRPr="00EA1FE1" w:rsidRDefault="00FF7AEA" w:rsidP="00FF7AEA">
      <w:pPr>
        <w:pStyle w:val="a9"/>
        <w:numPr>
          <w:ilvl w:val="0"/>
          <w:numId w:val="43"/>
        </w:numPr>
        <w:tabs>
          <w:tab w:val="left" w:pos="284"/>
        </w:tabs>
        <w:rPr>
          <w:rFonts w:ascii="Times New Roman" w:eastAsia="MS明朝" w:hAnsi="Times New Roman"/>
          <w:b/>
          <w:bCs/>
        </w:rPr>
      </w:pPr>
      <w:r w:rsidRPr="00EA1FE1">
        <w:rPr>
          <w:rFonts w:ascii="Times New Roman" w:eastAsia="MS明朝" w:hAnsi="Times New Roman"/>
          <w:b/>
          <w:bCs/>
        </w:rPr>
        <w:t>主体性と再定義の契機</w:t>
      </w:r>
    </w:p>
    <w:p w14:paraId="430A259D" w14:textId="22FFAB80"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一方で、抑圧的な条件の中にも、自己決定や尊厳を模索する語りが観察された。家族のために働くことを「誇り」と語る者、また職場内での技能向上や顧客対応に自信を見出す者も少なくない。これらの語りは、脆弱性の只中にあっても個人が柔らかに抵抗し、労働の意味を再定義しようとする姿勢を示している。</w:t>
      </w:r>
    </w:p>
    <w:p w14:paraId="61F50463" w14:textId="4BAD4241" w:rsidR="00FF7AEA" w:rsidRPr="00EA1FE1" w:rsidRDefault="00FF7AEA" w:rsidP="00FF7AEA">
      <w:pPr>
        <w:pStyle w:val="2"/>
        <w:rPr>
          <w:rFonts w:ascii="Times New Roman" w:eastAsia="MS明朝" w:hAnsi="Times New Roman"/>
          <w:b/>
          <w:bCs/>
        </w:rPr>
      </w:pPr>
      <w:r w:rsidRPr="00EA1FE1">
        <w:rPr>
          <w:rFonts w:ascii="Times New Roman" w:eastAsia="MS明朝" w:hAnsi="Times New Roman"/>
          <w:b/>
          <w:bCs/>
        </w:rPr>
        <w:t>4.3</w:t>
      </w:r>
      <w:r w:rsidRPr="00EA1FE1">
        <w:rPr>
          <w:rFonts w:ascii="Times New Roman" w:eastAsia="MS明朝" w:hAnsi="Times New Roman"/>
          <w:b/>
          <w:bCs/>
        </w:rPr>
        <w:t xml:space="preserve">　考察：交差する脆弱性の構造</w:t>
      </w:r>
    </w:p>
    <w:p w14:paraId="2D41FE40" w14:textId="77777777"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以上の結果を総合すると、若年・女性・地方出身という三属性が重なるほど、経済的、社会的、制度的の三領域で脆弱性が相互に強化される構造が確認された。経済的には低賃金と所得の不確実性が、社会的には孤立とハラスメントへの脆弱性が、制度的には保護や救済の欠如がそれぞれ重層的に作用している。</w:t>
      </w:r>
    </w:p>
    <w:p w14:paraId="06E146BC" w14:textId="19C7865E" w:rsidR="00FF7AEA" w:rsidRPr="00FF7AEA" w:rsidRDefault="00FF7AEA" w:rsidP="00FF7AEA">
      <w:pPr>
        <w:ind w:firstLineChars="100" w:firstLine="210"/>
        <w:rPr>
          <w:rFonts w:ascii="Times New Roman" w:eastAsia="MS明朝" w:hAnsi="Times New Roman"/>
        </w:rPr>
      </w:pPr>
      <w:r w:rsidRPr="00FF7AEA">
        <w:rPr>
          <w:rFonts w:ascii="Times New Roman" w:eastAsia="MS明朝" w:hAnsi="Times New Roman"/>
        </w:rPr>
        <w:t>都市経済は、非正規労働を雇用吸収の「安全弁」として利用する一方で、その不可視性ゆえに保護と再分配の枠外へと押し出している。結果として、非正規労働は都市の成長を支える基盤でありながら、格差の再生産をもたらす構造的メカニズムとなっている。短期的な柔軟性は長期的な脆弱性の固定化とトレードオフの関係にあり、効率性の論理の背後で「労働の質」と「公正」の問題が後景化している。したがって、労働政策は単なる雇用拡大にとどまらず、報酬・保護・尊厳を横断的に保障する枠組みへの転換を求められているといえる。</w:t>
      </w:r>
    </w:p>
    <w:p w14:paraId="60968334" w14:textId="77777777" w:rsidR="00FF7AEA" w:rsidRPr="00EA1FE1" w:rsidRDefault="00FF7AEA" w:rsidP="00FF7AEA">
      <w:pPr>
        <w:rPr>
          <w:rFonts w:ascii="Times New Roman" w:eastAsia="MS明朝" w:hAnsi="Times New Roman"/>
        </w:rPr>
      </w:pPr>
    </w:p>
    <w:p w14:paraId="5CDC956C" w14:textId="77777777" w:rsidR="00BA26D5" w:rsidRPr="00EA1FE1" w:rsidRDefault="00BA26D5" w:rsidP="00BA26D5">
      <w:pPr>
        <w:pStyle w:val="1"/>
        <w:rPr>
          <w:rFonts w:ascii="Times New Roman" w:eastAsia="MS明朝" w:hAnsi="Times New Roman"/>
          <w:b/>
          <w:bCs/>
        </w:rPr>
      </w:pPr>
      <w:r w:rsidRPr="00EA1FE1">
        <w:rPr>
          <w:rFonts w:ascii="Times New Roman" w:eastAsia="MS明朝" w:hAnsi="Times New Roman"/>
          <w:b/>
          <w:bCs/>
        </w:rPr>
        <w:t>第</w:t>
      </w:r>
      <w:r w:rsidRPr="00EA1FE1">
        <w:rPr>
          <w:rFonts w:ascii="Times New Roman" w:eastAsia="MS明朝" w:hAnsi="Times New Roman"/>
          <w:b/>
          <w:bCs/>
        </w:rPr>
        <w:t>5</w:t>
      </w:r>
      <w:r w:rsidRPr="00EA1FE1">
        <w:rPr>
          <w:rFonts w:ascii="Times New Roman" w:eastAsia="MS明朝" w:hAnsi="Times New Roman"/>
          <w:b/>
          <w:bCs/>
        </w:rPr>
        <w:t>章　総合考察と結論</w:t>
      </w:r>
    </w:p>
    <w:p w14:paraId="091CA644" w14:textId="77777777" w:rsidR="001B5CB4" w:rsidRPr="00EA1FE1" w:rsidRDefault="001B5CB4" w:rsidP="001B5CB4">
      <w:pPr>
        <w:pStyle w:val="2"/>
        <w:rPr>
          <w:rFonts w:ascii="Times New Roman" w:eastAsia="MS明朝" w:hAnsi="Times New Roman"/>
          <w:b/>
          <w:bCs/>
        </w:rPr>
      </w:pPr>
      <w:r w:rsidRPr="00EA1FE1">
        <w:rPr>
          <w:rFonts w:ascii="Times New Roman" w:eastAsia="MS明朝" w:hAnsi="Times New Roman"/>
          <w:b/>
          <w:bCs/>
        </w:rPr>
        <w:t>5.1</w:t>
      </w:r>
      <w:r w:rsidRPr="00EA1FE1">
        <w:rPr>
          <w:rFonts w:ascii="Times New Roman" w:eastAsia="MS明朝" w:hAnsi="Times New Roman"/>
          <w:b/>
          <w:bCs/>
        </w:rPr>
        <w:t xml:space="preserve">　交差性とインフォーマル労働の構造的連鎖</w:t>
      </w:r>
    </w:p>
    <w:p w14:paraId="2B233F98" w14:textId="77777777" w:rsidR="001B5CB4" w:rsidRPr="001B5CB4" w:rsidRDefault="001B5CB4" w:rsidP="001B5CB4">
      <w:pPr>
        <w:ind w:firstLineChars="100" w:firstLine="210"/>
        <w:rPr>
          <w:rFonts w:ascii="Times New Roman" w:eastAsia="MS明朝" w:hAnsi="Times New Roman"/>
        </w:rPr>
      </w:pPr>
      <w:r w:rsidRPr="001B5CB4">
        <w:rPr>
          <w:rFonts w:ascii="Times New Roman" w:eastAsia="MS明朝" w:hAnsi="Times New Roman"/>
        </w:rPr>
        <w:t>本研究は、ジャカルタ都市圏における非正規労働の交差的脆弱性を、宿泊・接客・対人サービスに従事する若年女性</w:t>
      </w:r>
      <w:r w:rsidRPr="001B5CB4">
        <w:rPr>
          <w:rFonts w:ascii="Times New Roman" w:eastAsia="MS明朝" w:hAnsi="Times New Roman"/>
        </w:rPr>
        <w:t>13</w:t>
      </w:r>
      <w:r w:rsidRPr="001B5CB4">
        <w:rPr>
          <w:rFonts w:ascii="Times New Roman" w:eastAsia="MS明朝" w:hAnsi="Times New Roman"/>
        </w:rPr>
        <w:t>名の語りを通じて具体的に描き出した。若年・女性・地方出身という三つの属性は、いずれも単独で不利要因となるが、重なり合うことで低賃金・不安定性・保護欠如という三重の不利益を増幅させる。本研究が明らかにしたのは、脆弱性が単に経済的劣位に起因するのではなく、制度的・社会的・文化的領域を横断して再生産される構造的連鎖であるという点である。</w:t>
      </w:r>
    </w:p>
    <w:p w14:paraId="024B693D" w14:textId="77777777" w:rsidR="001B5CB4" w:rsidRPr="001B5CB4" w:rsidRDefault="001B5CB4" w:rsidP="001B5CB4">
      <w:pPr>
        <w:ind w:firstLineChars="100" w:firstLine="210"/>
        <w:rPr>
          <w:rFonts w:ascii="Times New Roman" w:eastAsia="MS明朝" w:hAnsi="Times New Roman"/>
        </w:rPr>
      </w:pPr>
      <w:r w:rsidRPr="001B5CB4">
        <w:rPr>
          <w:rFonts w:ascii="Times New Roman" w:eastAsia="MS明朝" w:hAnsi="Times New Roman"/>
        </w:rPr>
        <w:t>インフォーマル部門の定義を、雇用契約の文書化や企業登録の有無といった統計的基準を超えて、制度アクセスの可否と所得の不確実性によって再定位したことにより、名目的には雇用されながらも法的保護から排除される層を捉えることができた。出来高制やチップ制といった成果依存型の報酬構造は、労働時間と所得の比例関係を切断し、努力や勤勉さが直接に報われない環境を生み出している。</w:t>
      </w:r>
    </w:p>
    <w:p w14:paraId="2210F36C" w14:textId="77777777" w:rsidR="001B5CB4" w:rsidRPr="001B5CB4" w:rsidRDefault="001B5CB4" w:rsidP="001B5CB4">
      <w:pPr>
        <w:ind w:firstLineChars="100" w:firstLine="210"/>
        <w:rPr>
          <w:rFonts w:ascii="Times New Roman" w:eastAsia="MS明朝" w:hAnsi="Times New Roman"/>
        </w:rPr>
      </w:pPr>
      <w:r w:rsidRPr="001B5CB4">
        <w:rPr>
          <w:rFonts w:ascii="Times New Roman" w:eastAsia="MS明朝" w:hAnsi="Times New Roman"/>
        </w:rPr>
        <w:t>下請・委託の多層構造は、責任の所在を拡散させ、リスクを末端へと外部化する。顧客と接触する最前線の労働は需要変動に最も晒されながら、訓練・安全・保険へのアクセスが最も薄い。こうした構造の下では、若年・女性・地方出身といった属性が重なるほど、交渉力は低下し、チップ依存が強まり、身体的・心理的負担が増幅する。</w:t>
      </w:r>
    </w:p>
    <w:p w14:paraId="7F573ACB" w14:textId="77777777" w:rsidR="001B5CB4" w:rsidRPr="001B5CB4" w:rsidRDefault="001B5CB4" w:rsidP="001B5CB4">
      <w:pPr>
        <w:ind w:firstLineChars="100" w:firstLine="210"/>
        <w:rPr>
          <w:rFonts w:ascii="Times New Roman" w:eastAsia="MS明朝" w:hAnsi="Times New Roman"/>
        </w:rPr>
      </w:pPr>
      <w:r w:rsidRPr="001B5CB4">
        <w:rPr>
          <w:rFonts w:ascii="Times New Roman" w:eastAsia="MS明朝" w:hAnsi="Times New Roman"/>
        </w:rPr>
        <w:t>家族責任の語りは、倫理的義務と経済的強制が交錯する領域を浮かび上がらせた。仕送りや学費負担は、労働継続の規範的動機であると同時に、退出コストを高める拘束装置として作用する。これにより、「自己犠牲」と「自立」の境界が曖昧化し、家族経済と市場労働が不可分に絡み合う。こうした状況下で、女性労働者たちはしばしば</w:t>
      </w:r>
      <w:r w:rsidRPr="001B5CB4">
        <w:rPr>
          <w:rFonts w:ascii="Times New Roman" w:eastAsia="MS明朝" w:hAnsi="Times New Roman"/>
        </w:rPr>
        <w:t>“</w:t>
      </w:r>
      <w:r w:rsidRPr="001B5CB4">
        <w:rPr>
          <w:rFonts w:ascii="Times New Roman" w:eastAsia="MS明朝" w:hAnsi="Times New Roman"/>
        </w:rPr>
        <w:t>自由と不安定の同居</w:t>
      </w:r>
      <w:r w:rsidRPr="001B5CB4">
        <w:rPr>
          <w:rFonts w:ascii="Times New Roman" w:eastAsia="MS明朝" w:hAnsi="Times New Roman"/>
        </w:rPr>
        <w:t>”</w:t>
      </w:r>
      <w:r w:rsidRPr="001B5CB4">
        <w:rPr>
          <w:rFonts w:ascii="Times New Roman" w:eastAsia="MS明朝" w:hAnsi="Times New Roman"/>
        </w:rPr>
        <w:t>の中に置かれ、退出の権利が形式的に存在しても、現実には制約されている。</w:t>
      </w:r>
    </w:p>
    <w:p w14:paraId="177D8A51" w14:textId="462FFDFF" w:rsidR="001B5CB4" w:rsidRPr="001B5CB4" w:rsidRDefault="001B5CB4" w:rsidP="001B5CB4">
      <w:pPr>
        <w:rPr>
          <w:rFonts w:ascii="Times New Roman" w:eastAsia="MS明朝" w:hAnsi="Times New Roman"/>
        </w:rPr>
      </w:pPr>
      <w:r w:rsidRPr="001B5CB4">
        <w:rPr>
          <w:rFonts w:ascii="Times New Roman" w:eastAsia="MS明朝" w:hAnsi="Times New Roman"/>
        </w:rPr>
        <w:t>本研究の知見は、プレカリティ概念を時間（不規則勤務と長時間化）、所得（成果変動と不確実性）、関係性（孤立と弱い紐帯）、制度（保護外縁）という四次元で捉える必要性を示している。これらの不安定性は互いに交差し、特定の属性構成において累積的に作用する。交差性の視角は、非正規労働を単一の経済問題としてではなく、制度・文化・市場の接合点に生じる社会構造現象として理解するための理論的枠組みを提供する。</w:t>
      </w:r>
    </w:p>
    <w:p w14:paraId="02E486B2" w14:textId="1644114F" w:rsidR="001B5CB4" w:rsidRPr="00EA1FE1" w:rsidRDefault="001B5CB4" w:rsidP="001B5CB4">
      <w:pPr>
        <w:pStyle w:val="2"/>
        <w:rPr>
          <w:rFonts w:ascii="Times New Roman" w:eastAsia="MS明朝" w:hAnsi="Times New Roman"/>
          <w:b/>
          <w:bCs/>
        </w:rPr>
      </w:pPr>
      <w:r w:rsidRPr="00EA1FE1">
        <w:rPr>
          <w:rFonts w:ascii="Times New Roman" w:eastAsia="MS明朝" w:hAnsi="Times New Roman"/>
          <w:b/>
          <w:bCs/>
        </w:rPr>
        <w:t>5.2</w:t>
      </w:r>
      <w:r w:rsidRPr="00EA1FE1">
        <w:rPr>
          <w:rFonts w:ascii="Times New Roman" w:eastAsia="MS明朝" w:hAnsi="Times New Roman"/>
          <w:b/>
          <w:bCs/>
        </w:rPr>
        <w:t xml:space="preserve">　都市ガバナンスと政策的含意</w:t>
      </w:r>
    </w:p>
    <w:p w14:paraId="140FFE8F" w14:textId="77777777" w:rsidR="001B5CB4" w:rsidRPr="001B5CB4" w:rsidRDefault="001B5CB4" w:rsidP="001B5CB4">
      <w:pPr>
        <w:ind w:firstLineChars="100" w:firstLine="210"/>
        <w:rPr>
          <w:rFonts w:ascii="Times New Roman" w:eastAsia="MS明朝" w:hAnsi="Times New Roman"/>
        </w:rPr>
      </w:pPr>
      <w:r w:rsidRPr="001B5CB4">
        <w:rPr>
          <w:rFonts w:ascii="Times New Roman" w:eastAsia="MS明朝" w:hAnsi="Times New Roman"/>
        </w:rPr>
        <w:t>非正規労働の問題は、労働市場内の出来事にとどまらず、都市ガバナンスの構造的帰結として位置づけられるべきである。最低賃金の決定過程、税・社会保険の徴収メカニズム、地域行政による労働監督資源の配分、さらには居住・交通・治安といった都市サービスの提供状況が、就労条件と生活可能性を媒介している。労働政策は単体では機能せず、都市政策・社会政策との連動的設計によってはじめて実効性を持つ。</w:t>
      </w:r>
    </w:p>
    <w:p w14:paraId="44A567A7"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政策的には、以下の三層の介入が求められる。</w:t>
      </w:r>
    </w:p>
    <w:p w14:paraId="188648E3"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第一に、入口への介入として、地方における職業訓練と中等後教育の拡充、就労前の権利教育および都市移住時の情報提供を整備する。これにより、初職選択の幅と交渉力を拡げ、低賃金・長時間労働を「当然」と受容するメカニズムを抑制する。</w:t>
      </w:r>
    </w:p>
    <w:p w14:paraId="72A6F06C"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第二に、内部への介入として、雇用形態を問わず適用可能な最低報酬制度を整備し、出来高・チップ依存の業務にも実効的な保護を及ぼす。社会保険制度は短時間・不規則勤務者にも参加しやすい仕組みに再設計し、宿泊・接客など高リスク現場への労働監督資源を重点配分すべきである。多層的な雇用構造の下では、元請責任の明確化が不可欠であり、契約上の中抜け構造を是正する制度的手当てが必要となる。</w:t>
      </w:r>
    </w:p>
    <w:p w14:paraId="096255C6"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第三に、出口への介入として、転職支援・学び直し（リスキリング）・安全な帰郷支援を制度化し、離脱コストを引き下げる。相談・救済ルートは匿名性と即時性を確保し、ハラスメントや未払いに迅速に対応できる仕組みを設けることが求められる。</w:t>
      </w:r>
    </w:p>
    <w:p w14:paraId="1C814E32"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さらに、行政・企業・市民社会が共有可能な労働環境モニタリング指標を整備すべきである。具体的には、</w:t>
      </w:r>
      <w:r w:rsidRPr="001B5CB4">
        <w:rPr>
          <w:rFonts w:ascii="Times New Roman" w:eastAsia="MS明朝" w:hAnsi="Times New Roman"/>
        </w:rPr>
        <w:t xml:space="preserve">(1) </w:t>
      </w:r>
      <w:r w:rsidRPr="001B5CB4">
        <w:rPr>
          <w:rFonts w:ascii="Times New Roman" w:eastAsia="MS明朝" w:hAnsi="Times New Roman"/>
        </w:rPr>
        <w:t>非正規就労者の社会保険加入率、</w:t>
      </w:r>
      <w:r w:rsidRPr="001B5CB4">
        <w:rPr>
          <w:rFonts w:ascii="Times New Roman" w:eastAsia="MS明朝" w:hAnsi="Times New Roman"/>
        </w:rPr>
        <w:t xml:space="preserve">(2) </w:t>
      </w:r>
      <w:r w:rsidRPr="001B5CB4">
        <w:rPr>
          <w:rFonts w:ascii="Times New Roman" w:eastAsia="MS明朝" w:hAnsi="Times New Roman"/>
        </w:rPr>
        <w:t>出来高・チップ職の実収入が最低報酬を下回る割合、</w:t>
      </w:r>
      <w:r w:rsidRPr="001B5CB4">
        <w:rPr>
          <w:rFonts w:ascii="Times New Roman" w:eastAsia="MS明朝" w:hAnsi="Times New Roman"/>
        </w:rPr>
        <w:t xml:space="preserve">(3) </w:t>
      </w:r>
      <w:r w:rsidRPr="001B5CB4">
        <w:rPr>
          <w:rFonts w:ascii="Times New Roman" w:eastAsia="MS明朝" w:hAnsi="Times New Roman"/>
        </w:rPr>
        <w:t>休憩取得率、</w:t>
      </w:r>
      <w:r w:rsidRPr="001B5CB4">
        <w:rPr>
          <w:rFonts w:ascii="Times New Roman" w:eastAsia="MS明朝" w:hAnsi="Times New Roman"/>
        </w:rPr>
        <w:t xml:space="preserve">(4) </w:t>
      </w:r>
      <w:r w:rsidRPr="001B5CB4">
        <w:rPr>
          <w:rFonts w:ascii="Times New Roman" w:eastAsia="MS明朝" w:hAnsi="Times New Roman"/>
        </w:rPr>
        <w:t>夜間移動安全対策の導入率、</w:t>
      </w:r>
      <w:r w:rsidRPr="001B5CB4">
        <w:rPr>
          <w:rFonts w:ascii="Times New Roman" w:eastAsia="MS明朝" w:hAnsi="Times New Roman"/>
        </w:rPr>
        <w:t xml:space="preserve">(5) </w:t>
      </w:r>
      <w:r w:rsidRPr="001B5CB4">
        <w:rPr>
          <w:rFonts w:ascii="Times New Roman" w:eastAsia="MS明朝" w:hAnsi="Times New Roman"/>
        </w:rPr>
        <w:t>相談・救済件数と解決率、などを継続的に可視化することで、政策効果のフィードバックと現場改善の循環を促す。</w:t>
      </w:r>
    </w:p>
    <w:p w14:paraId="27A18FA9"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費用負担の分配については、企業が報酬と安全対策の一次的責任を担い、社会保険や相談体制の整備を公的部門が補完する複合財源モデルが現実的である。短期的にはコスト増を伴うが、長期的には離職率低下、医療費抑制、生産性の安定化という社会的リターンをもたらす。</w:t>
      </w:r>
    </w:p>
    <w:p w14:paraId="339662F1" w14:textId="401CDFD3"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こうした政策的含意は、単なる制度改良ではなく、労働の質（</w:t>
      </w:r>
      <w:r w:rsidRPr="001B5CB4">
        <w:rPr>
          <w:rFonts w:ascii="Times New Roman" w:eastAsia="MS明朝" w:hAnsi="Times New Roman"/>
        </w:rPr>
        <w:t>quality of work</w:t>
      </w:r>
      <w:r w:rsidRPr="001B5CB4">
        <w:rPr>
          <w:rFonts w:ascii="Times New Roman" w:eastAsia="MS明朝" w:hAnsi="Times New Roman"/>
        </w:rPr>
        <w:t>）を都市開発の中核に据える再編の方向性を示している。労働は、都市の経済成長と社会的統合を結びつけるインフラであり、効率性と公正性の再統合なくして、都市の持続的発展は成立しえない。</w:t>
      </w:r>
    </w:p>
    <w:p w14:paraId="2B5E8780" w14:textId="77777777" w:rsidR="001B5CB4" w:rsidRPr="00EA1FE1" w:rsidRDefault="001B5CB4" w:rsidP="002B4827">
      <w:pPr>
        <w:pStyle w:val="2"/>
        <w:rPr>
          <w:rFonts w:ascii="Times New Roman" w:eastAsia="MS明朝" w:hAnsi="Times New Roman"/>
          <w:b/>
          <w:bCs/>
        </w:rPr>
      </w:pPr>
      <w:r w:rsidRPr="00EA1FE1">
        <w:rPr>
          <w:rFonts w:ascii="Times New Roman" w:eastAsia="MS明朝" w:hAnsi="Times New Roman"/>
          <w:b/>
          <w:bCs/>
        </w:rPr>
        <w:t>5.3</w:t>
      </w:r>
      <w:r w:rsidRPr="00EA1FE1">
        <w:rPr>
          <w:rFonts w:ascii="Times New Roman" w:eastAsia="MS明朝" w:hAnsi="Times New Roman"/>
          <w:b/>
          <w:bCs/>
        </w:rPr>
        <w:t xml:space="preserve">　倫理・方法・理論の統合としての結論</w:t>
      </w:r>
    </w:p>
    <w:p w14:paraId="64810C12"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本研究の貢献は、第一に、都市経済論とジェンダー研究、移住研究を交差性の枠組みで統合し、ミクロな語りから構造的脆弱性の生成過程を記述した点にある。非正規労働を経済の「残余」ではなく、成長と格差を同時に支える常態的メカニズムとして捉えた点も特徴的である。</w:t>
      </w:r>
    </w:p>
    <w:p w14:paraId="45B8EED2"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第二に、能力アプローチの視点から、健康・教育・移動・関係性といった基礎的能力が非正規労働によって制約されることを示し、所得を超える「生の自由度」への影響を明らかにした。労働条件の劣悪さは単なる経済問題ではなく、人間の尊厳と可能性の剥奪として捉え直す必要がある。</w:t>
      </w:r>
    </w:p>
    <w:p w14:paraId="62AED7C9"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第三に、倫理的次元において、成長の効率性と結果の公正性という二原理の緊張関係を浮き彫りにした。機会の平等を掲げる制度が、出発点の格差を放置すれば、結果として不平等を拡大する。したがって、都市社会の持続可能性を確保するためには、最低限の尊厳を下回らない就労条件を公共的基準として設定することが不可欠である。</w:t>
      </w:r>
    </w:p>
    <w:p w14:paraId="689930A1" w14:textId="205E743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方法論的には、調査者の立場性が語りに影響を与える可能性を自覚し、現地協力者との協働と逐次</w:t>
      </w:r>
      <w:r w:rsidR="00142052">
        <w:rPr>
          <w:rFonts w:ascii="Times New Roman" w:eastAsia="MS明朝" w:hAnsi="Times New Roman" w:hint="eastAsia"/>
        </w:rPr>
        <w:t>翻訳</w:t>
      </w:r>
      <w:r w:rsidRPr="001B5CB4">
        <w:rPr>
          <w:rFonts w:ascii="Times New Roman" w:eastAsia="MS明朝" w:hAnsi="Times New Roman"/>
        </w:rPr>
        <w:t>による相互検証を通じて信頼性を担保した。翻訳においては、概念の文化的文脈を尊重し、原語の含意を保持するために併記を行った。分析過程では、記述統計・逐語記録・分析メモの照合を通じてトライアンギュレーションを実践し、理論的飽和の確認をもって探索的分析を完了した。</w:t>
      </w:r>
    </w:p>
    <w:p w14:paraId="57EB7EEE"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限界として、面接時間の制約、社会的望ましさによる自己検閲、サンプルの偏りが挙げられる。とはいえ、本研究は、交差的脆弱性の構造をミクロな証言を通じて描き出し、制度改革・政策設計・倫理的再検討のための理論的足場を提示した。</w:t>
      </w:r>
    </w:p>
    <w:p w14:paraId="007166A1" w14:textId="77777777" w:rsidR="001B5CB4" w:rsidRPr="001B5CB4" w:rsidRDefault="001B5CB4" w:rsidP="002B4827">
      <w:pPr>
        <w:ind w:firstLineChars="100" w:firstLine="210"/>
        <w:rPr>
          <w:rFonts w:ascii="Times New Roman" w:eastAsia="MS明朝" w:hAnsi="Times New Roman"/>
        </w:rPr>
      </w:pPr>
      <w:r w:rsidRPr="001B5CB4">
        <w:rPr>
          <w:rFonts w:ascii="Times New Roman" w:eastAsia="MS明朝" w:hAnsi="Times New Roman"/>
        </w:rPr>
        <w:t>結論として、非正規労働の課題は、単に雇用の安定を求めるものではない。それは、都市社会における「誰が、どのような条件で、尊厳をもって働くことができるのか」という根源的問いである。労働とは、生計の手段であると同時に、社会への参加と自己実現の回路である。その回路を包摂的に再設計することこそ、次世代の都市が直面する倫理的・制度的課題であり、持続可能な発展の条件である。</w:t>
      </w:r>
    </w:p>
    <w:p w14:paraId="128E9262" w14:textId="77777777" w:rsidR="002B4827" w:rsidRPr="001B5CB4" w:rsidRDefault="002B4827" w:rsidP="002B4827">
      <w:pPr>
        <w:ind w:firstLineChars="100" w:firstLine="210"/>
        <w:rPr>
          <w:rFonts w:ascii="Times New Roman" w:eastAsia="MS明朝" w:hAnsi="Times New Roman"/>
        </w:rPr>
      </w:pPr>
    </w:p>
    <w:p w14:paraId="02926EBB" w14:textId="462C6159" w:rsidR="002B4827" w:rsidRPr="00EA1FE1" w:rsidRDefault="002B4827" w:rsidP="002B4827">
      <w:pPr>
        <w:pStyle w:val="2"/>
        <w:rPr>
          <w:rFonts w:ascii="Times New Roman" w:eastAsia="MS明朝" w:hAnsi="Times New Roman"/>
          <w:b/>
          <w:bCs/>
        </w:rPr>
      </w:pPr>
      <w:r w:rsidRPr="00EA1FE1">
        <w:rPr>
          <w:rFonts w:ascii="Times New Roman" w:eastAsia="MS明朝" w:hAnsi="Times New Roman"/>
          <w:b/>
          <w:bCs/>
        </w:rPr>
        <w:t>5.</w:t>
      </w:r>
      <w:r w:rsidRPr="00EA1FE1">
        <w:rPr>
          <w:rFonts w:ascii="Times New Roman" w:eastAsia="MS明朝" w:hAnsi="Times New Roman" w:hint="eastAsia"/>
          <w:b/>
          <w:bCs/>
        </w:rPr>
        <w:t>4</w:t>
      </w:r>
      <w:r w:rsidRPr="00EA1FE1">
        <w:rPr>
          <w:rFonts w:ascii="Times New Roman" w:eastAsia="MS明朝" w:hAnsi="Times New Roman"/>
          <w:b/>
          <w:bCs/>
        </w:rPr>
        <w:t xml:space="preserve">　</w:t>
      </w:r>
      <w:r w:rsidRPr="00EA1FE1">
        <w:rPr>
          <w:rFonts w:ascii="Times New Roman" w:eastAsia="MS明朝" w:hAnsi="Times New Roman" w:hint="eastAsia"/>
          <w:b/>
          <w:bCs/>
        </w:rPr>
        <w:t>結語</w:t>
      </w:r>
    </w:p>
    <w:p w14:paraId="1F346643" w14:textId="2C3AE335" w:rsidR="002B4827" w:rsidRPr="002B4827" w:rsidRDefault="00EA1FE1" w:rsidP="002B4827">
      <w:pPr>
        <w:ind w:firstLineChars="100" w:firstLine="210"/>
        <w:rPr>
          <w:rFonts w:ascii="Times New Roman" w:eastAsia="MS明朝" w:hAnsi="Times New Roman"/>
        </w:rPr>
      </w:pPr>
      <w:r w:rsidRPr="00EA1FE1">
        <w:rPr>
          <w:rFonts w:ascii="Times New Roman" w:eastAsia="MS明朝" w:hAnsi="Times New Roman"/>
        </w:rPr>
        <w:t>都市の繁栄が、不可視の労働の上に静かに築かれているという現実を、もはや看過することはできない。</w:t>
      </w:r>
      <w:r w:rsidR="002B4827" w:rsidRPr="002B4827">
        <w:rPr>
          <w:rFonts w:ascii="Times New Roman" w:eastAsia="MS明朝" w:hAnsi="Times New Roman"/>
        </w:rPr>
        <w:t>非正規・インフォーマルな働き方が都市経済を下支えしている事実は、同時に、それらの労働が制度的保護や社会的評価の周縁に置かれていることを意味する。本研究が明らかにしたのは、若年・女性・地方出身という三つの属性の交差点において、経済的・社会的・制度的脆弱性が相互に連鎖し、排除の構造を再生産しているという現代都市労働の核心的課題である。</w:t>
      </w:r>
    </w:p>
    <w:p w14:paraId="3843EAB0" w14:textId="77777777" w:rsidR="002B4827" w:rsidRPr="002B4827" w:rsidRDefault="002B4827" w:rsidP="00EA1FE1">
      <w:pPr>
        <w:ind w:firstLineChars="100" w:firstLine="210"/>
        <w:rPr>
          <w:rFonts w:ascii="Times New Roman" w:eastAsia="MS明朝" w:hAnsi="Times New Roman"/>
        </w:rPr>
      </w:pPr>
      <w:r w:rsidRPr="002B4827">
        <w:rPr>
          <w:rFonts w:ascii="Times New Roman" w:eastAsia="MS明朝" w:hAnsi="Times New Roman"/>
        </w:rPr>
        <w:t>この構造のもとでは、雇用の柔軟性が労働者の生活不安定性に転化し、短期的効率性の追求が長期的な格差の固定化をもたらしている。出来高制やチップ制に象徴される成果依存型の報酬体系は、努力と成果の関係を断絶させ、労働の尊厳を侵食する。さらに、家族責任や性別役割規範の内面化が退出コストを高め、地方出身という属性が社会関係資本の欠如を通じて孤立を深めている。このように、経済的合理性・社会的規範・制度的欠陥が重なり合う領域において、プレカリティは単なる不安定雇用ではなく、生活の予見可能性と尊厳の剥奪を伴う総体的現象として現れる。</w:t>
      </w:r>
    </w:p>
    <w:p w14:paraId="208F2D51" w14:textId="77777777" w:rsidR="002B4827" w:rsidRPr="002B4827" w:rsidRDefault="002B4827" w:rsidP="00EA1FE1">
      <w:pPr>
        <w:ind w:firstLineChars="100" w:firstLine="210"/>
        <w:rPr>
          <w:rFonts w:ascii="Times New Roman" w:eastAsia="MS明朝" w:hAnsi="Times New Roman"/>
        </w:rPr>
      </w:pPr>
      <w:r w:rsidRPr="002B4827">
        <w:rPr>
          <w:rFonts w:ascii="Times New Roman" w:eastAsia="MS明朝" w:hAnsi="Times New Roman"/>
        </w:rPr>
        <w:t>したがって、政策的課題は雇用の量的拡大にとどまらず、報酬・保護・尊厳を横断的に保障する制度への転換にある。地方における教育機会と職業訓練の拡充、雇用形態を問わず実効的に機能する最低報酬制度の整備、社会保険と相談救済制度の包括的適用、そして労働監督や通報システムの透明化が求められる。それは単なる行政改革ではなく、「労働の質」を都市発展の指標として位置づけ直す倫理的転回でもある。</w:t>
      </w:r>
    </w:p>
    <w:p w14:paraId="2FCA4BED" w14:textId="33B0941B" w:rsidR="002B4827" w:rsidRPr="002B4827" w:rsidRDefault="002B4827" w:rsidP="00EA1FE1">
      <w:pPr>
        <w:ind w:firstLineChars="100" w:firstLine="210"/>
        <w:rPr>
          <w:rFonts w:ascii="Times New Roman" w:eastAsia="MS明朝" w:hAnsi="Times New Roman"/>
        </w:rPr>
      </w:pPr>
      <w:r w:rsidRPr="002B4827">
        <w:rPr>
          <w:rFonts w:ascii="Times New Roman" w:eastAsia="MS明朝" w:hAnsi="Times New Roman"/>
        </w:rPr>
        <w:t>結語として、非正規・インフォーマルな働き方が担う価値を認め、そのコストを社会的に公正に分担する制度を整えることは、倫理的要請であると同時に、都市経済の持続的安定に資する理性的な選択である。本研究が提示したミクロな語りは、その設計に向けた出発点であり、今後の対話と検証を重ねるための共有の知的資源である。</w:t>
      </w:r>
    </w:p>
    <w:p w14:paraId="2696E778" w14:textId="571CD1A6" w:rsidR="001B5CB4" w:rsidRPr="00EA1FE1" w:rsidRDefault="001B5CB4" w:rsidP="001B5CB4">
      <w:pPr>
        <w:rPr>
          <w:rFonts w:ascii="Times New Roman" w:eastAsia="MS明朝" w:hAnsi="Times New Roman"/>
        </w:rPr>
      </w:pPr>
    </w:p>
    <w:p w14:paraId="155D3C22" w14:textId="77777777" w:rsidR="00BA26D5" w:rsidRPr="00EA1FE1" w:rsidRDefault="00BA26D5" w:rsidP="00BA26D5">
      <w:pPr>
        <w:pStyle w:val="1"/>
        <w:rPr>
          <w:rFonts w:ascii="Times New Roman" w:eastAsia="MS明朝" w:hAnsi="Times New Roman"/>
          <w:b/>
          <w:bCs/>
        </w:rPr>
      </w:pPr>
      <w:r w:rsidRPr="00EA1FE1">
        <w:rPr>
          <w:rFonts w:ascii="Times New Roman" w:eastAsia="MS明朝" w:hAnsi="Times New Roman"/>
          <w:b/>
          <w:bCs/>
        </w:rPr>
        <w:t>参考文献</w:t>
      </w:r>
    </w:p>
    <w:p w14:paraId="78E2478A" w14:textId="324A173A" w:rsidR="00BA26D5" w:rsidRPr="00EA1FE1" w:rsidRDefault="00BA26D5" w:rsidP="00BA26D5">
      <w:pPr>
        <w:rPr>
          <w:rFonts w:ascii="Times New Roman" w:eastAsia="MS明朝" w:hAnsi="Times New Roman"/>
        </w:rPr>
      </w:pPr>
      <w:r w:rsidRPr="00EA1FE1">
        <w:rPr>
          <w:rFonts w:ascii="Times New Roman" w:eastAsia="MS明朝" w:hAnsi="Times New Roman"/>
        </w:rPr>
        <w:t>Harris, J. R., &amp; Todaro, M. P. (1970). Migration, unemployment and development. The American Economic Review, 60(1).</w:t>
      </w:r>
    </w:p>
    <w:p w14:paraId="759784A0" w14:textId="7C7ACF41" w:rsidR="00BA26D5" w:rsidRPr="00EA1FE1" w:rsidRDefault="00BA26D5" w:rsidP="00BA26D5">
      <w:pPr>
        <w:rPr>
          <w:rFonts w:ascii="Times New Roman" w:eastAsia="MS明朝" w:hAnsi="Times New Roman"/>
        </w:rPr>
      </w:pPr>
      <w:r w:rsidRPr="00EA1FE1">
        <w:rPr>
          <w:rFonts w:ascii="Times New Roman" w:eastAsia="MS明朝" w:hAnsi="Times New Roman"/>
        </w:rPr>
        <w:t>Standing, G. (1999). Global labor flexibility</w:t>
      </w:r>
      <w:r w:rsidRPr="00EA1FE1">
        <w:rPr>
          <w:rFonts w:ascii="Times New Roman" w:eastAsia="MS明朝" w:hAnsi="Times New Roman" w:hint="eastAsia"/>
        </w:rPr>
        <w:t>.</w:t>
      </w:r>
      <w:r w:rsidRPr="00EA1FE1">
        <w:rPr>
          <w:rFonts w:ascii="Times New Roman" w:eastAsia="MS明朝" w:hAnsi="Times New Roman"/>
        </w:rPr>
        <w:t xml:space="preserve"> Palgrave Macmillan.</w:t>
      </w:r>
    </w:p>
    <w:p w14:paraId="20CFA11C" w14:textId="76662A16" w:rsidR="00BA26D5" w:rsidRPr="00EA1FE1" w:rsidRDefault="00BA26D5" w:rsidP="00BA26D5">
      <w:pPr>
        <w:rPr>
          <w:rFonts w:ascii="Times New Roman" w:eastAsia="MS明朝" w:hAnsi="Times New Roman"/>
        </w:rPr>
      </w:pPr>
      <w:r w:rsidRPr="00EA1FE1">
        <w:rPr>
          <w:rFonts w:ascii="Times New Roman" w:eastAsia="MS明朝" w:hAnsi="Times New Roman"/>
        </w:rPr>
        <w:t>Crenshaw, K. (1991). Mapping the margins</w:t>
      </w:r>
      <w:r w:rsidRPr="00EA1FE1">
        <w:rPr>
          <w:rFonts w:ascii="Times New Roman" w:eastAsia="MS明朝" w:hAnsi="Times New Roman" w:hint="eastAsia"/>
        </w:rPr>
        <w:t>.</w:t>
      </w:r>
      <w:r w:rsidRPr="00EA1FE1">
        <w:rPr>
          <w:rFonts w:ascii="Times New Roman" w:eastAsia="MS明朝" w:hAnsi="Times New Roman"/>
        </w:rPr>
        <w:t xml:space="preserve"> Stanford Law Review, 43(6).</w:t>
      </w:r>
    </w:p>
    <w:p w14:paraId="5864771A" w14:textId="35D3ECEC" w:rsidR="00BA26D5" w:rsidRPr="00EA1FE1" w:rsidRDefault="00BA26D5" w:rsidP="00BA26D5">
      <w:pPr>
        <w:rPr>
          <w:rFonts w:ascii="Times New Roman" w:eastAsia="MS明朝" w:hAnsi="Times New Roman"/>
        </w:rPr>
      </w:pPr>
      <w:proofErr w:type="spellStart"/>
      <w:r w:rsidRPr="00EA1FE1">
        <w:rPr>
          <w:rFonts w:ascii="Times New Roman" w:eastAsia="MS明朝" w:hAnsi="Times New Roman"/>
        </w:rPr>
        <w:t>Folbre</w:t>
      </w:r>
      <w:proofErr w:type="spellEnd"/>
      <w:r w:rsidRPr="00EA1FE1">
        <w:rPr>
          <w:rFonts w:ascii="Times New Roman" w:eastAsia="MS明朝" w:hAnsi="Times New Roman"/>
        </w:rPr>
        <w:t>, N. (2001). The invisible heart</w:t>
      </w:r>
      <w:r w:rsidRPr="00EA1FE1">
        <w:rPr>
          <w:rFonts w:ascii="Times New Roman" w:eastAsia="MS明朝" w:hAnsi="Times New Roman" w:hint="eastAsia"/>
        </w:rPr>
        <w:t>.</w:t>
      </w:r>
      <w:r w:rsidRPr="00EA1FE1">
        <w:rPr>
          <w:rFonts w:ascii="Times New Roman" w:eastAsia="MS明朝" w:hAnsi="Times New Roman"/>
        </w:rPr>
        <w:t xml:space="preserve"> The New Press.</w:t>
      </w:r>
    </w:p>
    <w:p w14:paraId="773F4DF4" w14:textId="1E34E198" w:rsidR="00BA26D5" w:rsidRPr="00EA1FE1" w:rsidRDefault="00BA26D5" w:rsidP="00BA26D5">
      <w:pPr>
        <w:rPr>
          <w:rFonts w:ascii="Times New Roman" w:eastAsia="MS明朝" w:hAnsi="Times New Roman"/>
        </w:rPr>
      </w:pPr>
      <w:r w:rsidRPr="00EA1FE1">
        <w:rPr>
          <w:rFonts w:ascii="Times New Roman" w:eastAsia="MS明朝" w:hAnsi="Times New Roman" w:hint="eastAsia"/>
        </w:rPr>
        <w:t>インドネシア共和国</w:t>
      </w:r>
      <w:r w:rsidRPr="00EA1FE1">
        <w:rPr>
          <w:rFonts w:ascii="Times New Roman" w:eastAsia="MS明朝" w:hAnsi="Times New Roman"/>
        </w:rPr>
        <w:t xml:space="preserve">. (2003). </w:t>
      </w:r>
      <w:r w:rsidRPr="00EA1FE1">
        <w:rPr>
          <w:rFonts w:ascii="Times New Roman" w:eastAsia="MS明朝" w:hAnsi="Times New Roman"/>
        </w:rPr>
        <w:t>労働法第</w:t>
      </w:r>
      <w:r w:rsidRPr="00EA1FE1">
        <w:rPr>
          <w:rFonts w:ascii="Times New Roman" w:eastAsia="MS明朝" w:hAnsi="Times New Roman"/>
        </w:rPr>
        <w:t>13</w:t>
      </w:r>
      <w:r w:rsidRPr="00EA1FE1">
        <w:rPr>
          <w:rFonts w:ascii="Times New Roman" w:eastAsia="MS明朝" w:hAnsi="Times New Roman"/>
        </w:rPr>
        <w:t>号</w:t>
      </w:r>
      <w:r w:rsidRPr="00EA1FE1">
        <w:rPr>
          <w:rFonts w:ascii="Times New Roman" w:eastAsia="MS明朝" w:hAnsi="Times New Roman"/>
        </w:rPr>
        <w:t xml:space="preserve"> [Law No.13].</w:t>
      </w:r>
    </w:p>
    <w:p w14:paraId="30FE74A7" w14:textId="6DBF3F1C" w:rsidR="00BA26D5" w:rsidRPr="00EA1FE1" w:rsidRDefault="00BA26D5" w:rsidP="00BA26D5">
      <w:pPr>
        <w:rPr>
          <w:rFonts w:ascii="Times New Roman" w:eastAsia="MS明朝" w:hAnsi="Times New Roman"/>
        </w:rPr>
      </w:pPr>
      <w:r w:rsidRPr="00EA1FE1">
        <w:rPr>
          <w:rFonts w:ascii="Times New Roman" w:eastAsia="MS明朝" w:hAnsi="Times New Roman"/>
        </w:rPr>
        <w:t>DKI</w:t>
      </w:r>
      <w:r w:rsidRPr="00EA1FE1">
        <w:rPr>
          <w:rFonts w:ascii="Times New Roman" w:eastAsia="MS明朝" w:hAnsi="Times New Roman"/>
        </w:rPr>
        <w:t>ジャカルタ地方労働局</w:t>
      </w:r>
      <w:r w:rsidRPr="00EA1FE1">
        <w:rPr>
          <w:rFonts w:ascii="Times New Roman" w:eastAsia="MS明朝" w:hAnsi="Times New Roman"/>
        </w:rPr>
        <w:t xml:space="preserve">. (2024). </w:t>
      </w:r>
      <w:r w:rsidRPr="00EA1FE1">
        <w:rPr>
          <w:rFonts w:ascii="Times New Roman" w:eastAsia="MS明朝" w:hAnsi="Times New Roman"/>
        </w:rPr>
        <w:t>賃金・労働統計年報</w:t>
      </w:r>
      <w:r w:rsidRPr="00EA1FE1">
        <w:rPr>
          <w:rFonts w:ascii="Times New Roman" w:eastAsia="MS明朝" w:hAnsi="Times New Roman"/>
        </w:rPr>
        <w:t>.</w:t>
      </w:r>
    </w:p>
    <w:p w14:paraId="34D8AD68" w14:textId="77777777" w:rsidR="00BA26D5" w:rsidRPr="00EA1FE1" w:rsidRDefault="00BA26D5" w:rsidP="00BA26D5">
      <w:pPr>
        <w:pStyle w:val="1"/>
        <w:rPr>
          <w:rFonts w:ascii="Times New Roman" w:eastAsia="MS明朝" w:hAnsi="Times New Roman"/>
          <w:b/>
          <w:bCs/>
        </w:rPr>
      </w:pPr>
      <w:r w:rsidRPr="00EA1FE1">
        <w:rPr>
          <w:rFonts w:ascii="Times New Roman" w:eastAsia="MS明朝" w:hAnsi="Times New Roman"/>
          <w:b/>
          <w:bCs/>
        </w:rPr>
        <w:t>付記：用語の整理</w:t>
      </w:r>
    </w:p>
    <w:p w14:paraId="2FF3BD97" w14:textId="77777777" w:rsidR="002B4827" w:rsidRPr="002B4827" w:rsidRDefault="002B4827" w:rsidP="002B4827">
      <w:pPr>
        <w:ind w:firstLineChars="100" w:firstLine="210"/>
        <w:rPr>
          <w:rFonts w:ascii="Times New Roman" w:eastAsia="MS明朝" w:hAnsi="Times New Roman"/>
        </w:rPr>
      </w:pPr>
      <w:r w:rsidRPr="002B4827">
        <w:rPr>
          <w:rFonts w:ascii="Times New Roman" w:eastAsia="MS明朝" w:hAnsi="Times New Roman"/>
        </w:rPr>
        <w:t>本稿で用いる主要概念の定義を以下に整理しておく。これらの用語は、既存統計や法制度上の分類と必ずしも一致しないが、実証分析において焦点を当てる「保護の実効性」と「脆弱性の生成過程」を明確にするために、分析的概念として再定義している。</w:t>
      </w:r>
    </w:p>
    <w:p w14:paraId="39CC1D01" w14:textId="66817053" w:rsidR="002B4827" w:rsidRPr="00EA1FE1" w:rsidRDefault="002B4827" w:rsidP="002B4827">
      <w:pPr>
        <w:pStyle w:val="a9"/>
        <w:numPr>
          <w:ilvl w:val="0"/>
          <w:numId w:val="44"/>
        </w:numPr>
        <w:rPr>
          <w:rFonts w:ascii="Times New Roman" w:eastAsia="MS明朝" w:hAnsi="Times New Roman"/>
          <w:b/>
          <w:bCs/>
        </w:rPr>
      </w:pPr>
      <w:r w:rsidRPr="00EA1FE1">
        <w:rPr>
          <w:rFonts w:ascii="Times New Roman" w:eastAsia="MS明朝" w:hAnsi="Times New Roman"/>
          <w:b/>
          <w:bCs/>
        </w:rPr>
        <w:t>非正規労働（</w:t>
      </w:r>
      <w:r w:rsidRPr="00EA1FE1">
        <w:rPr>
          <w:rFonts w:ascii="Times New Roman" w:eastAsia="MS明朝" w:hAnsi="Times New Roman"/>
          <w:b/>
          <w:bCs/>
        </w:rPr>
        <w:t>non-standard employment</w:t>
      </w:r>
      <w:r w:rsidRPr="00EA1FE1">
        <w:rPr>
          <w:rFonts w:ascii="Times New Roman" w:eastAsia="MS明朝" w:hAnsi="Times New Roman"/>
          <w:b/>
          <w:bCs/>
        </w:rPr>
        <w:t>）</w:t>
      </w:r>
    </w:p>
    <w:p w14:paraId="34BD1C34" w14:textId="6B3DB816" w:rsidR="002B4827" w:rsidRPr="00EA1FE1" w:rsidRDefault="002B4827" w:rsidP="002B4827">
      <w:pPr>
        <w:ind w:firstLineChars="100" w:firstLine="210"/>
        <w:rPr>
          <w:rFonts w:ascii="Times New Roman" w:eastAsia="MS明朝" w:hAnsi="Times New Roman"/>
        </w:rPr>
      </w:pPr>
      <w:r w:rsidRPr="00EA1FE1">
        <w:rPr>
          <w:rFonts w:ascii="Times New Roman" w:eastAsia="MS明朝" w:hAnsi="Times New Roman"/>
        </w:rPr>
        <w:t>本稿における「非正規労働」は、期間の定めのある雇用、短時間・不規則勤務、出来高・歩合、チップ依存、派遣・請負など、雇用の安定性と制度的保護が限定される働き方の総称として用いる。統計上の「非正規雇用」区分と必ずしも一致しないが、賃金・社会保険・権利救済といった保護の到達度を基準に、より実態的・包括的な範囲を対象とする。</w:t>
      </w:r>
    </w:p>
    <w:p w14:paraId="0E2CFF21" w14:textId="77777777" w:rsidR="002B4827" w:rsidRPr="00EA1FE1" w:rsidRDefault="002B4827" w:rsidP="002B4827">
      <w:pPr>
        <w:pStyle w:val="a9"/>
        <w:numPr>
          <w:ilvl w:val="0"/>
          <w:numId w:val="44"/>
        </w:numPr>
        <w:rPr>
          <w:rFonts w:ascii="Times New Roman" w:eastAsia="MS明朝" w:hAnsi="Times New Roman"/>
          <w:b/>
          <w:bCs/>
        </w:rPr>
      </w:pPr>
      <w:r w:rsidRPr="00EA1FE1">
        <w:rPr>
          <w:rFonts w:ascii="Times New Roman" w:eastAsia="MS明朝" w:hAnsi="Times New Roman"/>
          <w:b/>
          <w:bCs/>
        </w:rPr>
        <w:t>インフォーマル部門（</w:t>
      </w:r>
      <w:r w:rsidRPr="00EA1FE1">
        <w:rPr>
          <w:rFonts w:ascii="Times New Roman" w:eastAsia="MS明朝" w:hAnsi="Times New Roman"/>
          <w:b/>
          <w:bCs/>
        </w:rPr>
        <w:t>informal sector</w:t>
      </w:r>
      <w:r w:rsidRPr="00EA1FE1">
        <w:rPr>
          <w:rFonts w:ascii="Times New Roman" w:eastAsia="MS明朝" w:hAnsi="Times New Roman"/>
          <w:b/>
          <w:bCs/>
        </w:rPr>
        <w:t>）</w:t>
      </w:r>
    </w:p>
    <w:p w14:paraId="55EFC244" w14:textId="7BA1046D" w:rsidR="002B4827" w:rsidRPr="00EA1FE1" w:rsidRDefault="002B4827" w:rsidP="002B4827">
      <w:pPr>
        <w:ind w:firstLineChars="100" w:firstLine="210"/>
        <w:rPr>
          <w:rFonts w:ascii="Times New Roman" w:eastAsia="MS明朝" w:hAnsi="Times New Roman"/>
        </w:rPr>
      </w:pPr>
      <w:r w:rsidRPr="00EA1FE1">
        <w:rPr>
          <w:rFonts w:ascii="Times New Roman" w:eastAsia="MS明朝" w:hAnsi="Times New Roman"/>
        </w:rPr>
        <w:t>「インフォーマル部門」は、未登録事業、家計企業、自営業、小規模店舗など、制度的保護と規制の外縁に位置づけられる経済活動を指す。加えて、本稿では、形式上は企業雇用であっても、契約の不文書化や成果依存の報酬体系により、実質的に法的保護から排除されている場合を「広義のインフォーマル」として含める。この再定義により、統計的カテゴリーでは捉えきれない</w:t>
      </w:r>
      <w:r w:rsidRPr="00EA1FE1">
        <w:rPr>
          <w:rFonts w:ascii="Times New Roman" w:eastAsia="MS明朝" w:hAnsi="Times New Roman"/>
        </w:rPr>
        <w:t>“</w:t>
      </w:r>
      <w:r w:rsidRPr="00EA1FE1">
        <w:rPr>
          <w:rFonts w:ascii="Times New Roman" w:eastAsia="MS明朝" w:hAnsi="Times New Roman"/>
        </w:rPr>
        <w:t>制度的排除の実態</w:t>
      </w:r>
      <w:r w:rsidRPr="00EA1FE1">
        <w:rPr>
          <w:rFonts w:ascii="Times New Roman" w:eastAsia="MS明朝" w:hAnsi="Times New Roman"/>
        </w:rPr>
        <w:t>”</w:t>
      </w:r>
      <w:r w:rsidRPr="00EA1FE1">
        <w:rPr>
          <w:rFonts w:ascii="Times New Roman" w:eastAsia="MS明朝" w:hAnsi="Times New Roman"/>
        </w:rPr>
        <w:t>を分析可能とした。</w:t>
      </w:r>
    </w:p>
    <w:p w14:paraId="40FDFE5A" w14:textId="6B139E8E" w:rsidR="002B4827" w:rsidRPr="00EA1FE1" w:rsidRDefault="002B4827" w:rsidP="002B4827">
      <w:pPr>
        <w:pStyle w:val="a9"/>
        <w:numPr>
          <w:ilvl w:val="0"/>
          <w:numId w:val="44"/>
        </w:numPr>
        <w:rPr>
          <w:rFonts w:ascii="Times New Roman" w:eastAsia="MS明朝" w:hAnsi="Times New Roman"/>
          <w:b/>
          <w:bCs/>
        </w:rPr>
      </w:pPr>
      <w:r w:rsidRPr="00EA1FE1">
        <w:rPr>
          <w:rFonts w:ascii="Times New Roman" w:eastAsia="MS明朝" w:hAnsi="Times New Roman"/>
          <w:b/>
          <w:bCs/>
        </w:rPr>
        <w:t>交差性（</w:t>
      </w:r>
      <w:r w:rsidRPr="00EA1FE1">
        <w:rPr>
          <w:rFonts w:ascii="Times New Roman" w:eastAsia="MS明朝" w:hAnsi="Times New Roman"/>
          <w:b/>
          <w:bCs/>
        </w:rPr>
        <w:t>intersectionality</w:t>
      </w:r>
      <w:r w:rsidRPr="00EA1FE1">
        <w:rPr>
          <w:rFonts w:ascii="Times New Roman" w:eastAsia="MS明朝" w:hAnsi="Times New Roman"/>
          <w:b/>
          <w:bCs/>
        </w:rPr>
        <w:t>）</w:t>
      </w:r>
    </w:p>
    <w:p w14:paraId="69FCA090" w14:textId="3AB80754" w:rsidR="002B4827" w:rsidRPr="00EA1FE1" w:rsidRDefault="002B4827" w:rsidP="002B4827">
      <w:pPr>
        <w:ind w:firstLineChars="100" w:firstLine="210"/>
        <w:rPr>
          <w:rFonts w:ascii="Times New Roman" w:eastAsia="MS明朝" w:hAnsi="Times New Roman"/>
        </w:rPr>
      </w:pPr>
      <w:r w:rsidRPr="00EA1FE1">
        <w:rPr>
          <w:rFonts w:ascii="Times New Roman" w:eastAsia="MS明朝" w:hAnsi="Times New Roman"/>
        </w:rPr>
        <w:t>「交差性」は、年齢・ジェンダー・出身地・教育水準など、複数の社会的属性が交錯することによって不利益や排除が相互に増幅される現象を捉える理論的視角である。単一属性に基づく説明を超えて、制度・文化・市場の接合によって形成される複合的メカニズムを分析する装置として採用する。本稿では、若年・女性・地方出身という三属性の交差が、所得・雇用・健康・関係性の多領域で脆弱性を強化する構造を示した。</w:t>
      </w:r>
    </w:p>
    <w:p w14:paraId="60EF457C" w14:textId="56499A56" w:rsidR="002B4827" w:rsidRPr="00EA1FE1" w:rsidRDefault="002B4827" w:rsidP="002B4827">
      <w:pPr>
        <w:pStyle w:val="a9"/>
        <w:numPr>
          <w:ilvl w:val="0"/>
          <w:numId w:val="44"/>
        </w:numPr>
        <w:rPr>
          <w:rFonts w:ascii="Times New Roman" w:eastAsia="MS明朝" w:hAnsi="Times New Roman"/>
          <w:b/>
          <w:bCs/>
        </w:rPr>
      </w:pPr>
      <w:r w:rsidRPr="00EA1FE1">
        <w:rPr>
          <w:rFonts w:ascii="Times New Roman" w:eastAsia="MS明朝" w:hAnsi="Times New Roman"/>
          <w:b/>
          <w:bCs/>
        </w:rPr>
        <w:t>プレカリティ（</w:t>
      </w:r>
      <w:r w:rsidRPr="00EA1FE1">
        <w:rPr>
          <w:rFonts w:ascii="Times New Roman" w:eastAsia="MS明朝" w:hAnsi="Times New Roman"/>
          <w:b/>
          <w:bCs/>
        </w:rPr>
        <w:t>precarity / precariousness</w:t>
      </w:r>
      <w:r w:rsidRPr="00EA1FE1">
        <w:rPr>
          <w:rFonts w:ascii="Times New Roman" w:eastAsia="MS明朝" w:hAnsi="Times New Roman"/>
          <w:b/>
          <w:bCs/>
        </w:rPr>
        <w:t>）</w:t>
      </w:r>
    </w:p>
    <w:p w14:paraId="1BA8A9CD" w14:textId="69544531" w:rsidR="002B4827" w:rsidRPr="00EA1FE1" w:rsidRDefault="002B4827" w:rsidP="002B4827">
      <w:pPr>
        <w:ind w:firstLineChars="100" w:firstLine="210"/>
        <w:rPr>
          <w:rFonts w:ascii="Times New Roman" w:eastAsia="MS明朝" w:hAnsi="Times New Roman"/>
        </w:rPr>
      </w:pPr>
      <w:r w:rsidRPr="00EA1FE1">
        <w:rPr>
          <w:rFonts w:ascii="Times New Roman" w:eastAsia="MS明朝" w:hAnsi="Times New Roman"/>
        </w:rPr>
        <w:t>「プレカリティ（不安定性）」は、雇用・所得・時間・空間・関係性・制度アクセスといった複数次元にまたがる不確実性と脆弱性の状態を指す。本稿では、これらの次元が重なり、相互に累積する様相をインタビューの語りから抽出した。プレカリティは、単なる不安定雇用の同義語ではなく、生活の予見可能性・身体的再生産・社会的包摂の欠如が交差する総体的状態として理解される。</w:t>
      </w:r>
    </w:p>
    <w:p w14:paraId="08471FD1" w14:textId="77777777" w:rsidR="002B4827" w:rsidRPr="00EA1FE1" w:rsidRDefault="002B4827" w:rsidP="002B4827">
      <w:pPr>
        <w:rPr>
          <w:rFonts w:ascii="Times New Roman" w:eastAsia="MS明朝" w:hAnsi="Times New Roman"/>
        </w:rPr>
      </w:pPr>
    </w:p>
    <w:sectPr w:rsidR="002B4827" w:rsidRPr="00EA1FE1" w:rsidSect="00BA26D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77A7" w14:textId="77777777" w:rsidR="00441FA9" w:rsidRDefault="00441FA9" w:rsidP="00BA26D5">
      <w:r>
        <w:separator/>
      </w:r>
    </w:p>
  </w:endnote>
  <w:endnote w:type="continuationSeparator" w:id="0">
    <w:p w14:paraId="5BD5EF4C" w14:textId="77777777" w:rsidR="00441FA9" w:rsidRDefault="00441FA9" w:rsidP="00BA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明朝">
    <w:altName w:val="Yu Gothic"/>
    <w:panose1 w:val="020B0604020202020204"/>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429562"/>
      <w:docPartObj>
        <w:docPartGallery w:val="Page Numbers (Bottom of Page)"/>
        <w:docPartUnique/>
      </w:docPartObj>
    </w:sdtPr>
    <w:sdtEndPr/>
    <w:sdtContent>
      <w:p w14:paraId="40D0B58C" w14:textId="54D4E34D" w:rsidR="00FF7AEA" w:rsidRDefault="00FF7AEA">
        <w:pPr>
          <w:pStyle w:val="ae"/>
          <w:jc w:val="center"/>
        </w:pPr>
        <w:r>
          <w:fldChar w:fldCharType="begin"/>
        </w:r>
        <w:r>
          <w:instrText>PAGE   \* MERGEFORMAT</w:instrText>
        </w:r>
        <w:r>
          <w:fldChar w:fldCharType="separate"/>
        </w:r>
        <w:r>
          <w:rPr>
            <w:lang w:val="ja-JP"/>
          </w:rPr>
          <w:t>2</w:t>
        </w:r>
        <w:r>
          <w:fldChar w:fldCharType="end"/>
        </w:r>
      </w:p>
    </w:sdtContent>
  </w:sdt>
  <w:p w14:paraId="34D34B75" w14:textId="77777777" w:rsidR="00FF7AEA" w:rsidRDefault="00FF7A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374A" w14:textId="77777777" w:rsidR="00441FA9" w:rsidRDefault="00441FA9" w:rsidP="00BA26D5">
      <w:r>
        <w:separator/>
      </w:r>
    </w:p>
  </w:footnote>
  <w:footnote w:type="continuationSeparator" w:id="0">
    <w:p w14:paraId="55632F5E" w14:textId="77777777" w:rsidR="00441FA9" w:rsidRDefault="00441FA9" w:rsidP="00BA2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626"/>
    <w:multiLevelType w:val="multilevel"/>
    <w:tmpl w:val="54F0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0FF2"/>
    <w:multiLevelType w:val="multilevel"/>
    <w:tmpl w:val="CA84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F02B2"/>
    <w:multiLevelType w:val="multilevel"/>
    <w:tmpl w:val="28A2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06253"/>
    <w:multiLevelType w:val="multilevel"/>
    <w:tmpl w:val="A6D6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22705"/>
    <w:multiLevelType w:val="multilevel"/>
    <w:tmpl w:val="6772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575C1"/>
    <w:multiLevelType w:val="multilevel"/>
    <w:tmpl w:val="A234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16F09"/>
    <w:multiLevelType w:val="multilevel"/>
    <w:tmpl w:val="E6D0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E314B"/>
    <w:multiLevelType w:val="hybridMultilevel"/>
    <w:tmpl w:val="2230082A"/>
    <w:lvl w:ilvl="0" w:tplc="3E547FE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DF5D84"/>
    <w:multiLevelType w:val="multilevel"/>
    <w:tmpl w:val="9D3C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E7E0A"/>
    <w:multiLevelType w:val="multilevel"/>
    <w:tmpl w:val="37E6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4517C"/>
    <w:multiLevelType w:val="multilevel"/>
    <w:tmpl w:val="70F4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147370"/>
    <w:multiLevelType w:val="multilevel"/>
    <w:tmpl w:val="D58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46A97"/>
    <w:multiLevelType w:val="multilevel"/>
    <w:tmpl w:val="E5CE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572CB"/>
    <w:multiLevelType w:val="multilevel"/>
    <w:tmpl w:val="2E62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71ED2"/>
    <w:multiLevelType w:val="multilevel"/>
    <w:tmpl w:val="306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CE4F5C"/>
    <w:multiLevelType w:val="multilevel"/>
    <w:tmpl w:val="8DC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8688A"/>
    <w:multiLevelType w:val="multilevel"/>
    <w:tmpl w:val="AA32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91E3E"/>
    <w:multiLevelType w:val="hybridMultilevel"/>
    <w:tmpl w:val="487E72D8"/>
    <w:lvl w:ilvl="0" w:tplc="3E547FE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1EB648B"/>
    <w:multiLevelType w:val="multilevel"/>
    <w:tmpl w:val="DC9C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9234DF"/>
    <w:multiLevelType w:val="multilevel"/>
    <w:tmpl w:val="39E2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D77E7"/>
    <w:multiLevelType w:val="multilevel"/>
    <w:tmpl w:val="557CF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D82DFD"/>
    <w:multiLevelType w:val="multilevel"/>
    <w:tmpl w:val="1C2A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547A0C"/>
    <w:multiLevelType w:val="multilevel"/>
    <w:tmpl w:val="EEC0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E2612"/>
    <w:multiLevelType w:val="multilevel"/>
    <w:tmpl w:val="800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9B7C0C"/>
    <w:multiLevelType w:val="hybridMultilevel"/>
    <w:tmpl w:val="60E0DAD2"/>
    <w:lvl w:ilvl="0" w:tplc="A2028E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9AC49A2"/>
    <w:multiLevelType w:val="multilevel"/>
    <w:tmpl w:val="1E0C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72D4A"/>
    <w:multiLevelType w:val="multilevel"/>
    <w:tmpl w:val="39E4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180069"/>
    <w:multiLevelType w:val="multilevel"/>
    <w:tmpl w:val="C5AA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A37643"/>
    <w:multiLevelType w:val="multilevel"/>
    <w:tmpl w:val="50C8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31F9B"/>
    <w:multiLevelType w:val="multilevel"/>
    <w:tmpl w:val="6CD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5E44FE"/>
    <w:multiLevelType w:val="hybridMultilevel"/>
    <w:tmpl w:val="664045DA"/>
    <w:lvl w:ilvl="0" w:tplc="1A64DE64">
      <w:start w:val="1"/>
      <w:numFmt w:val="decimal"/>
      <w:lvlText w:val="(%1)"/>
      <w:lvlJc w:val="left"/>
      <w:pPr>
        <w:ind w:left="610" w:hanging="40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D1A21DF"/>
    <w:multiLevelType w:val="multilevel"/>
    <w:tmpl w:val="2222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23C4F"/>
    <w:multiLevelType w:val="multilevel"/>
    <w:tmpl w:val="AAE0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264E0"/>
    <w:multiLevelType w:val="multilevel"/>
    <w:tmpl w:val="6A8C0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4F1703"/>
    <w:multiLevelType w:val="multilevel"/>
    <w:tmpl w:val="E594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5E574D"/>
    <w:multiLevelType w:val="multilevel"/>
    <w:tmpl w:val="F854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812700"/>
    <w:multiLevelType w:val="multilevel"/>
    <w:tmpl w:val="D12E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8C011E"/>
    <w:multiLevelType w:val="multilevel"/>
    <w:tmpl w:val="F6F8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12204D"/>
    <w:multiLevelType w:val="multilevel"/>
    <w:tmpl w:val="B140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93305C"/>
    <w:multiLevelType w:val="multilevel"/>
    <w:tmpl w:val="EDB4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365E4"/>
    <w:multiLevelType w:val="multilevel"/>
    <w:tmpl w:val="7762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BD56CD"/>
    <w:multiLevelType w:val="multilevel"/>
    <w:tmpl w:val="7F28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5228D1"/>
    <w:multiLevelType w:val="multilevel"/>
    <w:tmpl w:val="18C6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310DC"/>
    <w:multiLevelType w:val="multilevel"/>
    <w:tmpl w:val="F76A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055732">
    <w:abstractNumId w:val="6"/>
  </w:num>
  <w:num w:numId="2" w16cid:durableId="1978611131">
    <w:abstractNumId w:val="30"/>
  </w:num>
  <w:num w:numId="3" w16cid:durableId="1021932673">
    <w:abstractNumId w:val="38"/>
  </w:num>
  <w:num w:numId="4" w16cid:durableId="1758669828">
    <w:abstractNumId w:val="33"/>
  </w:num>
  <w:num w:numId="5" w16cid:durableId="1401710706">
    <w:abstractNumId w:val="34"/>
  </w:num>
  <w:num w:numId="6" w16cid:durableId="2093114729">
    <w:abstractNumId w:val="41"/>
  </w:num>
  <w:num w:numId="7" w16cid:durableId="879325400">
    <w:abstractNumId w:val="21"/>
  </w:num>
  <w:num w:numId="8" w16cid:durableId="1451435827">
    <w:abstractNumId w:val="32"/>
  </w:num>
  <w:num w:numId="9" w16cid:durableId="1226184298">
    <w:abstractNumId w:val="12"/>
  </w:num>
  <w:num w:numId="10" w16cid:durableId="1919904811">
    <w:abstractNumId w:val="16"/>
  </w:num>
  <w:num w:numId="11" w16cid:durableId="1555460614">
    <w:abstractNumId w:val="1"/>
  </w:num>
  <w:num w:numId="12" w16cid:durableId="81724726">
    <w:abstractNumId w:val="15"/>
  </w:num>
  <w:num w:numId="13" w16cid:durableId="1309360560">
    <w:abstractNumId w:val="3"/>
  </w:num>
  <w:num w:numId="14" w16cid:durableId="1320034871">
    <w:abstractNumId w:val="23"/>
  </w:num>
  <w:num w:numId="15" w16cid:durableId="405617992">
    <w:abstractNumId w:val="29"/>
  </w:num>
  <w:num w:numId="16" w16cid:durableId="1773698026">
    <w:abstractNumId w:val="27"/>
  </w:num>
  <w:num w:numId="17" w16cid:durableId="1279990227">
    <w:abstractNumId w:val="5"/>
  </w:num>
  <w:num w:numId="18" w16cid:durableId="1376927064">
    <w:abstractNumId w:val="43"/>
  </w:num>
  <w:num w:numId="19" w16cid:durableId="1201092">
    <w:abstractNumId w:val="11"/>
  </w:num>
  <w:num w:numId="20" w16cid:durableId="248656058">
    <w:abstractNumId w:val="8"/>
  </w:num>
  <w:num w:numId="21" w16cid:durableId="1353536762">
    <w:abstractNumId w:val="4"/>
  </w:num>
  <w:num w:numId="22" w16cid:durableId="883978088">
    <w:abstractNumId w:val="22"/>
  </w:num>
  <w:num w:numId="23" w16cid:durableId="1702435911">
    <w:abstractNumId w:val="25"/>
  </w:num>
  <w:num w:numId="24" w16cid:durableId="467282361">
    <w:abstractNumId w:val="20"/>
  </w:num>
  <w:num w:numId="25" w16cid:durableId="420490806">
    <w:abstractNumId w:val="31"/>
  </w:num>
  <w:num w:numId="26" w16cid:durableId="783421353">
    <w:abstractNumId w:val="13"/>
  </w:num>
  <w:num w:numId="27" w16cid:durableId="803352233">
    <w:abstractNumId w:val="42"/>
  </w:num>
  <w:num w:numId="28" w16cid:durableId="1903832917">
    <w:abstractNumId w:val="35"/>
  </w:num>
  <w:num w:numId="29" w16cid:durableId="1824470839">
    <w:abstractNumId w:val="9"/>
  </w:num>
  <w:num w:numId="30" w16cid:durableId="294331730">
    <w:abstractNumId w:val="0"/>
  </w:num>
  <w:num w:numId="31" w16cid:durableId="1621955318">
    <w:abstractNumId w:val="2"/>
  </w:num>
  <w:num w:numId="32" w16cid:durableId="1537037245">
    <w:abstractNumId w:val="10"/>
  </w:num>
  <w:num w:numId="33" w16cid:durableId="948703737">
    <w:abstractNumId w:val="26"/>
  </w:num>
  <w:num w:numId="34" w16cid:durableId="1783109171">
    <w:abstractNumId w:val="18"/>
  </w:num>
  <w:num w:numId="35" w16cid:durableId="1946421762">
    <w:abstractNumId w:val="39"/>
  </w:num>
  <w:num w:numId="36" w16cid:durableId="350229216">
    <w:abstractNumId w:val="19"/>
  </w:num>
  <w:num w:numId="37" w16cid:durableId="196353351">
    <w:abstractNumId w:val="36"/>
  </w:num>
  <w:num w:numId="38" w16cid:durableId="929048991">
    <w:abstractNumId w:val="37"/>
  </w:num>
  <w:num w:numId="39" w16cid:durableId="573323628">
    <w:abstractNumId w:val="40"/>
  </w:num>
  <w:num w:numId="40" w16cid:durableId="458498111">
    <w:abstractNumId w:val="14"/>
  </w:num>
  <w:num w:numId="41" w16cid:durableId="1712534752">
    <w:abstractNumId w:val="28"/>
  </w:num>
  <w:num w:numId="42" w16cid:durableId="2141530665">
    <w:abstractNumId w:val="17"/>
  </w:num>
  <w:num w:numId="43" w16cid:durableId="666712544">
    <w:abstractNumId w:val="7"/>
  </w:num>
  <w:num w:numId="44" w16cid:durableId="2811165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2B"/>
    <w:rsid w:val="00102CF0"/>
    <w:rsid w:val="00142052"/>
    <w:rsid w:val="001B5CB4"/>
    <w:rsid w:val="001F17C3"/>
    <w:rsid w:val="00271457"/>
    <w:rsid w:val="002B4827"/>
    <w:rsid w:val="002D0A55"/>
    <w:rsid w:val="002E7855"/>
    <w:rsid w:val="00441FA9"/>
    <w:rsid w:val="006241A9"/>
    <w:rsid w:val="006D40A0"/>
    <w:rsid w:val="006F36AD"/>
    <w:rsid w:val="007850AB"/>
    <w:rsid w:val="00790F19"/>
    <w:rsid w:val="007B5A89"/>
    <w:rsid w:val="008F42F2"/>
    <w:rsid w:val="00905B4B"/>
    <w:rsid w:val="00926467"/>
    <w:rsid w:val="00997622"/>
    <w:rsid w:val="00A50380"/>
    <w:rsid w:val="00AC76E5"/>
    <w:rsid w:val="00BA26D5"/>
    <w:rsid w:val="00BD49A8"/>
    <w:rsid w:val="00C555EE"/>
    <w:rsid w:val="00C64708"/>
    <w:rsid w:val="00C712EB"/>
    <w:rsid w:val="00C94F2E"/>
    <w:rsid w:val="00CC0321"/>
    <w:rsid w:val="00D01E2B"/>
    <w:rsid w:val="00D2689F"/>
    <w:rsid w:val="00D836BC"/>
    <w:rsid w:val="00DC190B"/>
    <w:rsid w:val="00E939F1"/>
    <w:rsid w:val="00EA1FE1"/>
    <w:rsid w:val="00EC4D3D"/>
    <w:rsid w:val="00FF7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ADDB2"/>
  <w15:chartTrackingRefBased/>
  <w15:docId w15:val="{DBD1DB90-A67C-4E17-B76A-E9C83863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E2B"/>
    <w:pPr>
      <w:widowControl w:val="0"/>
    </w:pPr>
  </w:style>
  <w:style w:type="paragraph" w:styleId="1">
    <w:name w:val="heading 1"/>
    <w:basedOn w:val="a"/>
    <w:next w:val="a"/>
    <w:link w:val="10"/>
    <w:uiPriority w:val="9"/>
    <w:qFormat/>
    <w:rsid w:val="00D01E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01E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1E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1E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1E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1E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1E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1E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1E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1E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01E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1E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1E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1E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1E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1E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1E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1E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1E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1E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E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1E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E2B"/>
    <w:pPr>
      <w:spacing w:before="160" w:after="160"/>
      <w:jc w:val="center"/>
    </w:pPr>
    <w:rPr>
      <w:i/>
      <w:iCs/>
      <w:color w:val="404040" w:themeColor="text1" w:themeTint="BF"/>
    </w:rPr>
  </w:style>
  <w:style w:type="character" w:customStyle="1" w:styleId="a8">
    <w:name w:val="引用文 (文字)"/>
    <w:basedOn w:val="a0"/>
    <w:link w:val="a7"/>
    <w:uiPriority w:val="29"/>
    <w:rsid w:val="00D01E2B"/>
    <w:rPr>
      <w:i/>
      <w:iCs/>
      <w:color w:val="404040" w:themeColor="text1" w:themeTint="BF"/>
    </w:rPr>
  </w:style>
  <w:style w:type="paragraph" w:styleId="a9">
    <w:name w:val="List Paragraph"/>
    <w:basedOn w:val="a"/>
    <w:uiPriority w:val="34"/>
    <w:qFormat/>
    <w:rsid w:val="00D01E2B"/>
    <w:pPr>
      <w:ind w:left="720"/>
      <w:contextualSpacing/>
    </w:pPr>
  </w:style>
  <w:style w:type="character" w:styleId="21">
    <w:name w:val="Intense Emphasis"/>
    <w:basedOn w:val="a0"/>
    <w:uiPriority w:val="21"/>
    <w:qFormat/>
    <w:rsid w:val="00D01E2B"/>
    <w:rPr>
      <w:i/>
      <w:iCs/>
      <w:color w:val="0F4761" w:themeColor="accent1" w:themeShade="BF"/>
    </w:rPr>
  </w:style>
  <w:style w:type="paragraph" w:styleId="22">
    <w:name w:val="Intense Quote"/>
    <w:basedOn w:val="a"/>
    <w:next w:val="a"/>
    <w:link w:val="23"/>
    <w:uiPriority w:val="30"/>
    <w:qFormat/>
    <w:rsid w:val="00D01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1E2B"/>
    <w:rPr>
      <w:i/>
      <w:iCs/>
      <w:color w:val="0F4761" w:themeColor="accent1" w:themeShade="BF"/>
    </w:rPr>
  </w:style>
  <w:style w:type="character" w:styleId="24">
    <w:name w:val="Intense Reference"/>
    <w:basedOn w:val="a0"/>
    <w:uiPriority w:val="32"/>
    <w:qFormat/>
    <w:rsid w:val="00D01E2B"/>
    <w:rPr>
      <w:b/>
      <w:bCs/>
      <w:smallCaps/>
      <w:color w:val="0F4761" w:themeColor="accent1" w:themeShade="BF"/>
      <w:spacing w:val="5"/>
    </w:rPr>
  </w:style>
  <w:style w:type="character" w:styleId="aa">
    <w:name w:val="Hyperlink"/>
    <w:basedOn w:val="a0"/>
    <w:uiPriority w:val="99"/>
    <w:unhideWhenUsed/>
    <w:rsid w:val="00C555EE"/>
    <w:rPr>
      <w:color w:val="467886" w:themeColor="hyperlink"/>
      <w:u w:val="single"/>
    </w:rPr>
  </w:style>
  <w:style w:type="character" w:styleId="ab">
    <w:name w:val="Unresolved Mention"/>
    <w:basedOn w:val="a0"/>
    <w:uiPriority w:val="99"/>
    <w:semiHidden/>
    <w:unhideWhenUsed/>
    <w:rsid w:val="00C555EE"/>
    <w:rPr>
      <w:color w:val="605E5C"/>
      <w:shd w:val="clear" w:color="auto" w:fill="E1DFDD"/>
    </w:rPr>
  </w:style>
  <w:style w:type="paragraph" w:styleId="Web">
    <w:name w:val="Normal (Web)"/>
    <w:basedOn w:val="a"/>
    <w:uiPriority w:val="99"/>
    <w:semiHidden/>
    <w:unhideWhenUsed/>
    <w:rsid w:val="00C94F2E"/>
    <w:rPr>
      <w:rFonts w:ascii="Times New Roman" w:hAnsi="Times New Roman" w:cs="Times New Roman"/>
      <w:sz w:val="24"/>
    </w:rPr>
  </w:style>
  <w:style w:type="paragraph" w:styleId="ac">
    <w:name w:val="header"/>
    <w:basedOn w:val="a"/>
    <w:link w:val="ad"/>
    <w:uiPriority w:val="99"/>
    <w:unhideWhenUsed/>
    <w:rsid w:val="00BA26D5"/>
    <w:pPr>
      <w:tabs>
        <w:tab w:val="center" w:pos="4252"/>
        <w:tab w:val="right" w:pos="8504"/>
      </w:tabs>
      <w:snapToGrid w:val="0"/>
    </w:pPr>
  </w:style>
  <w:style w:type="character" w:customStyle="1" w:styleId="ad">
    <w:name w:val="ヘッダー (文字)"/>
    <w:basedOn w:val="a0"/>
    <w:link w:val="ac"/>
    <w:uiPriority w:val="99"/>
    <w:rsid w:val="00BA26D5"/>
  </w:style>
  <w:style w:type="paragraph" w:styleId="ae">
    <w:name w:val="footer"/>
    <w:basedOn w:val="a"/>
    <w:link w:val="af"/>
    <w:uiPriority w:val="99"/>
    <w:unhideWhenUsed/>
    <w:rsid w:val="00BA26D5"/>
    <w:pPr>
      <w:tabs>
        <w:tab w:val="center" w:pos="4252"/>
        <w:tab w:val="right" w:pos="8504"/>
      </w:tabs>
      <w:snapToGrid w:val="0"/>
    </w:pPr>
  </w:style>
  <w:style w:type="character" w:customStyle="1" w:styleId="af">
    <w:name w:val="フッター (文字)"/>
    <w:basedOn w:val="a0"/>
    <w:link w:val="ae"/>
    <w:uiPriority w:val="99"/>
    <w:rsid w:val="00BA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6872">
      <w:bodyDiv w:val="1"/>
      <w:marLeft w:val="0"/>
      <w:marRight w:val="0"/>
      <w:marTop w:val="0"/>
      <w:marBottom w:val="0"/>
      <w:divBdr>
        <w:top w:val="none" w:sz="0" w:space="0" w:color="auto"/>
        <w:left w:val="none" w:sz="0" w:space="0" w:color="auto"/>
        <w:bottom w:val="none" w:sz="0" w:space="0" w:color="auto"/>
        <w:right w:val="none" w:sz="0" w:space="0" w:color="auto"/>
      </w:divBdr>
    </w:div>
    <w:div w:id="380596207">
      <w:bodyDiv w:val="1"/>
      <w:marLeft w:val="0"/>
      <w:marRight w:val="0"/>
      <w:marTop w:val="0"/>
      <w:marBottom w:val="0"/>
      <w:divBdr>
        <w:top w:val="none" w:sz="0" w:space="0" w:color="auto"/>
        <w:left w:val="none" w:sz="0" w:space="0" w:color="auto"/>
        <w:bottom w:val="none" w:sz="0" w:space="0" w:color="auto"/>
        <w:right w:val="none" w:sz="0" w:space="0" w:color="auto"/>
      </w:divBdr>
    </w:div>
    <w:div w:id="852577017">
      <w:bodyDiv w:val="1"/>
      <w:marLeft w:val="0"/>
      <w:marRight w:val="0"/>
      <w:marTop w:val="0"/>
      <w:marBottom w:val="0"/>
      <w:divBdr>
        <w:top w:val="none" w:sz="0" w:space="0" w:color="auto"/>
        <w:left w:val="none" w:sz="0" w:space="0" w:color="auto"/>
        <w:bottom w:val="none" w:sz="0" w:space="0" w:color="auto"/>
        <w:right w:val="none" w:sz="0" w:space="0" w:color="auto"/>
      </w:divBdr>
    </w:div>
    <w:div w:id="1003705300">
      <w:bodyDiv w:val="1"/>
      <w:marLeft w:val="0"/>
      <w:marRight w:val="0"/>
      <w:marTop w:val="0"/>
      <w:marBottom w:val="0"/>
      <w:divBdr>
        <w:top w:val="none" w:sz="0" w:space="0" w:color="auto"/>
        <w:left w:val="none" w:sz="0" w:space="0" w:color="auto"/>
        <w:bottom w:val="none" w:sz="0" w:space="0" w:color="auto"/>
        <w:right w:val="none" w:sz="0" w:space="0" w:color="auto"/>
      </w:divBdr>
    </w:div>
    <w:div w:id="1311515681">
      <w:bodyDiv w:val="1"/>
      <w:marLeft w:val="0"/>
      <w:marRight w:val="0"/>
      <w:marTop w:val="0"/>
      <w:marBottom w:val="0"/>
      <w:divBdr>
        <w:top w:val="none" w:sz="0" w:space="0" w:color="auto"/>
        <w:left w:val="none" w:sz="0" w:space="0" w:color="auto"/>
        <w:bottom w:val="none" w:sz="0" w:space="0" w:color="auto"/>
        <w:right w:val="none" w:sz="0" w:space="0" w:color="auto"/>
      </w:divBdr>
    </w:div>
    <w:div w:id="18837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C44FA99B86FF429521225FD0C044EE" ma:contentTypeVersion="7" ma:contentTypeDescription="新しいドキュメントを作成します。" ma:contentTypeScope="" ma:versionID="56815628b5d4aaaea9f09a8465f4182e">
  <xsd:schema xmlns:xsd="http://www.w3.org/2001/XMLSchema" xmlns:xs="http://www.w3.org/2001/XMLSchema" xmlns:p="http://schemas.microsoft.com/office/2006/metadata/properties" xmlns:ns3="16fe0ed4-bd2e-4321-b9b3-0d86021ca5ac" targetNamespace="http://schemas.microsoft.com/office/2006/metadata/properties" ma:root="true" ma:fieldsID="5337728c5a1b91f3ec31e8d225346ffa" ns3:_="">
    <xsd:import namespace="16fe0ed4-bd2e-4321-b9b3-0d86021ca5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e0ed4-bd2e-4321-b9b3-0d86021ca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fe0ed4-bd2e-4321-b9b3-0d86021ca5ac" xsi:nil="true"/>
  </documentManagement>
</p:properties>
</file>

<file path=customXml/itemProps1.xml><?xml version="1.0" encoding="utf-8"?>
<ds:datastoreItem xmlns:ds="http://schemas.openxmlformats.org/officeDocument/2006/customXml" ds:itemID="{2B595EB2-AD59-4811-94F4-DB79F5FF1BF3}">
  <ds:schemaRefs>
    <ds:schemaRef ds:uri="http://schemas.microsoft.com/office/2006/metadata/contentType"/>
    <ds:schemaRef ds:uri="http://schemas.microsoft.com/office/2006/metadata/properties/metaAttributes"/>
    <ds:schemaRef ds:uri="http://www.w3.org/2000/xmlns/"/>
    <ds:schemaRef ds:uri="http://www.w3.org/2001/XMLSchema"/>
    <ds:schemaRef ds:uri="16fe0ed4-bd2e-4321-b9b3-0d86021ca5ac"/>
  </ds:schemaRefs>
</ds:datastoreItem>
</file>

<file path=customXml/itemProps2.xml><?xml version="1.0" encoding="utf-8"?>
<ds:datastoreItem xmlns:ds="http://schemas.openxmlformats.org/officeDocument/2006/customXml" ds:itemID="{D8F415FF-11E1-4A2F-B79F-F8ABFED4F272}">
  <ds:schemaRefs>
    <ds:schemaRef ds:uri="http://schemas.microsoft.com/sharepoint/v3/contenttype/forms"/>
  </ds:schemaRefs>
</ds:datastoreItem>
</file>

<file path=customXml/itemProps3.xml><?xml version="1.0" encoding="utf-8"?>
<ds:datastoreItem xmlns:ds="http://schemas.openxmlformats.org/officeDocument/2006/customXml" ds:itemID="{5F8B2277-53BD-4D99-8892-B761D89E626F}">
  <ds:schemaRefs>
    <ds:schemaRef ds:uri="http://schemas.microsoft.com/office/2006/metadata/properties"/>
    <ds:schemaRef ds:uri="http://www.w3.org/2000/xmlns/"/>
    <ds:schemaRef ds:uri="16fe0ed4-bd2e-4321-b9b3-0d86021ca5ac"/>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1801</Words>
  <Characters>10271</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emi_nozaki@keio.jp</dc:creator>
  <cp:keywords/>
  <dc:description/>
  <cp:lastModifiedBy>KAWANISHI Kousuke</cp:lastModifiedBy>
  <cp:revision>2</cp:revision>
  <dcterms:created xsi:type="dcterms:W3CDTF">2025-10-11T12:48:00Z</dcterms:created>
  <dcterms:modified xsi:type="dcterms:W3CDTF">2025-10-11T12:48:00Z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0x01010060C44FA99B86FF429521225FD0C044EE</vt:lpwstr>
  </property>
</Properties>
</file>