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inline distB="114300" distT="114300" distL="114300" distR="114300">
            <wp:extent cx="5731200" cy="1435100"/>
            <wp:effectExtent b="25400" l="25400" r="25400" t="25400"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435100"/>
                    </a:xfrm>
                    <a:prstGeom prst="rect"/>
                    <a:ln w="25400">
                      <a:solidFill>
                        <a:srgbClr val="000000"/>
                      </a:solidFill>
                      <a:prstDash val="dot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b w:val="1"/>
          <w:color w:val="1c4587"/>
        </w:rPr>
      </w:pPr>
      <w:r w:rsidDel="00000000" w:rsidR="00000000" w:rsidRPr="00000000">
        <w:rPr>
          <w:b w:val="1"/>
          <w:color w:val="1c4587"/>
          <w:rtl w:val="0"/>
        </w:rPr>
        <w:t xml:space="preserve">Le meilleur cours de japonais en ligne pour les débutants et les apprenants intermédiaires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・Il est adapté au JLPT N5 et N4, pour les débutants complets et les apprenants intermédiaires.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・Apprenez le japonais en ligne avec 150 heures de certificats d'étude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・Vous avez plus d'opportunités de parler de manière significative, d'améliorer vos compétences d'expression orale.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/>
        <w:drawing>
          <wp:inline distB="114300" distT="114300" distL="114300" distR="114300">
            <wp:extent cx="5731200" cy="1676400"/>
            <wp:effectExtent b="25400" l="25400" r="25400" t="2540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676400"/>
                    </a:xfrm>
                    <a:prstGeom prst="rect"/>
                    <a:ln w="25400">
                      <a:solidFill>
                        <a:srgbClr val="000000"/>
                      </a:solidFill>
                      <a:prstDash val="dot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b w:val="1"/>
          <w:color w:val="1c4587"/>
        </w:rPr>
      </w:pPr>
      <w:r w:rsidDel="00000000" w:rsidR="00000000" w:rsidRPr="00000000">
        <w:rPr>
          <w:b w:val="1"/>
          <w:color w:val="1c4587"/>
          <w:rtl w:val="0"/>
        </w:rPr>
        <w:t xml:space="preserve">Nos prix pour les leçons privées de japonais et les cours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Le plus populaire : 150 heures de Nihongo Cours de démarrage : 50 heures de cours en ligne et 100 heures de cours hors ligne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Deuxième cours préféré : 3 mois avec 25 leçons en ligne (+ devoirs)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▶︎You peut sélectionner un plan avec une fréquence (pour 1, 2 et 3 leçons/semaine) et une durée (pour 3, 6 et 12 mois). Lorsque vous avez terminé le cours, l'école vous délivre un certificat d'achèvement.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/>
        <w:drawing>
          <wp:inline distB="114300" distT="114300" distL="114300" distR="114300">
            <wp:extent cx="5731200" cy="2362200"/>
            <wp:effectExtent b="25400" l="25400" r="25400" t="25400"/>
            <wp:docPr id="5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362200"/>
                    </a:xfrm>
                    <a:prstGeom prst="rect"/>
                    <a:ln w="25400">
                      <a:solidFill>
                        <a:srgbClr val="000000"/>
                      </a:solidFill>
                      <a:prstDash val="dot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*Ces prix sont hors taxes.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Inscription unique 25 000 JPY (vérification du niveau + préparation des ressources)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*Ces frais couvrent la vérification du niveau et la préparation des ressources pour vous. Si le cours est prolongé, il n'y a pas de frais d'inscription à payer.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Mode de paiement Carte de crédit ou virement bancaire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*La plupart des étudiants paient en une seule fois, mais nous pouvons également accepter les paiements échelonnés (une fois ~ paiements échelonnés en 3 fois).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Nous proposons 9 cours différents qui ont des fréquences et des durées différentes.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Nous sommes heureux d'adapter les leçons en fonction de vos intérêts et de vos besoins. Nous pouvons discuter et créer les leçons qui vous conviennent le mieux.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Si vous prenez 150 heures de cours d'initiation au Nihongo,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225 000 JPY + 25 000 JPY =250 000 JPY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Lorsque vous avez terminé le cours, l'école vous délivre un certificat d'achèvement.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/>
        <w:drawing>
          <wp:inline distB="114300" distT="114300" distL="114300" distR="114300">
            <wp:extent cx="5731200" cy="2260600"/>
            <wp:effectExtent b="25400" l="25400" r="25400" t="25400"/>
            <wp:docPr id="4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260600"/>
                    </a:xfrm>
                    <a:prstGeom prst="rect"/>
                    <a:ln w="25400">
                      <a:solidFill>
                        <a:srgbClr val="000000"/>
                      </a:solidFill>
                      <a:prstDash val="dot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b w:val="1"/>
          <w:color w:val="1c4587"/>
        </w:rPr>
      </w:pPr>
      <w:r w:rsidDel="00000000" w:rsidR="00000000" w:rsidRPr="00000000">
        <w:rPr>
          <w:b w:val="1"/>
          <w:color w:val="1c4587"/>
          <w:rtl w:val="0"/>
        </w:rPr>
        <w:t xml:space="preserve">Manuel : L'enseignant sélectionne le texte le plus approprié pour vous permettre d'améliorer vos compétences en matière d'expression orale.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この部分から下については、サイトの内容から、翻訳をいただけると幸いです。</w:t>
      </w:r>
    </w:p>
    <w:p w:rsidR="00000000" w:rsidDel="00000000" w:rsidP="00000000" w:rsidRDefault="00000000" w:rsidRPr="00000000" w14:paraId="0000002F">
      <w:pPr>
        <w:rPr/>
      </w:pP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https://nihongo-career.com/course/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/>
        <w:drawing>
          <wp:inline distB="114300" distT="114300" distL="114300" distR="114300">
            <wp:extent cx="3575932" cy="5081588"/>
            <wp:effectExtent b="25400" l="25400" r="25400" t="2540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575932" cy="5081588"/>
                    </a:xfrm>
                    <a:prstGeom prst="rect"/>
                    <a:ln w="25400">
                      <a:solidFill>
                        <a:srgbClr val="000000"/>
                      </a:solidFill>
                      <a:prstDash val="dot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ja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2.png"/><Relationship Id="rId10" Type="http://schemas.openxmlformats.org/officeDocument/2006/relationships/hyperlink" Target="https://nihongo-career.com/course/" TargetMode="External"/><Relationship Id="rId9" Type="http://schemas.openxmlformats.org/officeDocument/2006/relationships/image" Target="media/image4.png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image" Target="media/image1.png"/><Relationship Id="rId8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