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803F48" w14:textId="77777777" w:rsidR="00764A7B" w:rsidRPr="00764A7B" w:rsidRDefault="00764A7B" w:rsidP="00764A7B">
      <w:pPr>
        <w:widowControl/>
        <w:shd w:val="clear" w:color="auto" w:fill="FFFFFF"/>
        <w:ind w:firstLine="140"/>
        <w:jc w:val="center"/>
        <w:rPr>
          <w:rFonts w:ascii="Century" w:eastAsia="ＭＳ Ｐゴシック" w:hAnsi="Century" w:cs="ＭＳ Ｐゴシック"/>
          <w:color w:val="000000"/>
          <w:kern w:val="0"/>
          <w:szCs w:val="21"/>
          <w14:ligatures w14:val="none"/>
        </w:rPr>
      </w:pPr>
      <w:r w:rsidRPr="00764A7B">
        <w:rPr>
          <w:rFonts w:ascii="Century" w:eastAsia="ＭＳ Ｐゴシック" w:hAnsi="Century" w:cs="ＭＳ Ｐゴシック"/>
          <w:b/>
          <w:bCs/>
          <w:color w:val="000000"/>
          <w:kern w:val="0"/>
          <w:sz w:val="28"/>
          <w:szCs w:val="28"/>
          <w14:ligatures w14:val="none"/>
        </w:rPr>
        <w:t>自己調整能力を育成するための小学校音楽におけるカリキュラムマネジメント構築</w:t>
      </w:r>
    </w:p>
    <w:p w14:paraId="1008A126"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Yu Mincho" w:eastAsia="Yu Mincho" w:hAnsi="Yu Mincho" w:cs="ＭＳ Ｐゴシック" w:hint="eastAsia"/>
          <w:b/>
          <w:bCs/>
          <w:color w:val="000000"/>
          <w:kern w:val="0"/>
          <w:sz w:val="22"/>
          <w:szCs w:val="22"/>
          <w14:ligatures w14:val="none"/>
        </w:rPr>
        <w:t>要約</w:t>
      </w:r>
    </w:p>
    <w:p w14:paraId="361AE92D"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本研究は、小学校音楽科において自己調整能力の育成を目指し、係活動とジグソー法を組み合わせた新たなカリキュラムマネジメントを構築し、その有効性を実証的に検討した。特定の認知的教科に偏りがちな自己調整学習の研究に対し、表現活動を伴う音楽科における実践的知見を提供するものである。小学</w:t>
      </w:r>
      <w:r w:rsidRPr="00764A7B">
        <w:rPr>
          <w:rFonts w:ascii="Arial" w:eastAsia="ＭＳ Ｐゴシック" w:hAnsi="Arial" w:cs="Arial"/>
          <w:color w:val="000000"/>
          <w:kern w:val="0"/>
          <w:sz w:val="22"/>
          <w:szCs w:val="22"/>
          <w14:ligatures w14:val="none"/>
        </w:rPr>
        <w:t>4</w:t>
      </w:r>
      <w:r w:rsidRPr="00764A7B">
        <w:rPr>
          <w:rFonts w:ascii="Arial" w:eastAsia="ＭＳ Ｐゴシック" w:hAnsi="Arial" w:cs="Arial"/>
          <w:color w:val="000000"/>
          <w:kern w:val="0"/>
          <w:sz w:val="22"/>
          <w:szCs w:val="22"/>
          <w14:ligatures w14:val="none"/>
        </w:rPr>
        <w:t>年生</w:t>
      </w:r>
      <w:r w:rsidRPr="00764A7B">
        <w:rPr>
          <w:rFonts w:ascii="Arial" w:eastAsia="ＭＳ Ｐゴシック" w:hAnsi="Arial" w:cs="Arial"/>
          <w:color w:val="000000"/>
          <w:kern w:val="0"/>
          <w:sz w:val="22"/>
          <w:szCs w:val="22"/>
          <w14:ligatures w14:val="none"/>
        </w:rPr>
        <w:t>2</w:t>
      </w:r>
      <w:r w:rsidRPr="00764A7B">
        <w:rPr>
          <w:rFonts w:ascii="Arial" w:eastAsia="ＭＳ Ｐゴシック" w:hAnsi="Arial" w:cs="Arial"/>
          <w:color w:val="000000"/>
          <w:kern w:val="0"/>
          <w:sz w:val="22"/>
          <w:szCs w:val="22"/>
          <w14:ligatures w14:val="none"/>
        </w:rPr>
        <w:t>学級の児童</w:t>
      </w:r>
      <w:r w:rsidRPr="00764A7B">
        <w:rPr>
          <w:rFonts w:ascii="Arial" w:eastAsia="ＭＳ Ｐゴシック" w:hAnsi="Arial" w:cs="Arial"/>
          <w:color w:val="000000"/>
          <w:kern w:val="0"/>
          <w:sz w:val="22"/>
          <w:szCs w:val="22"/>
          <w14:ligatures w14:val="none"/>
        </w:rPr>
        <w:t>63</w:t>
      </w:r>
      <w:r w:rsidRPr="00764A7B">
        <w:rPr>
          <w:rFonts w:ascii="Arial" w:eastAsia="ＭＳ Ｐゴシック" w:hAnsi="Arial" w:cs="Arial"/>
          <w:color w:val="000000"/>
          <w:kern w:val="0"/>
          <w:sz w:val="22"/>
          <w:szCs w:val="22"/>
          <w14:ligatures w14:val="none"/>
        </w:rPr>
        <w:t>名を対象に、</w:t>
      </w:r>
      <w:r w:rsidRPr="00764A7B">
        <w:rPr>
          <w:rFonts w:ascii="Arial" w:eastAsia="ＭＳ Ｐゴシック" w:hAnsi="Arial" w:cs="Arial"/>
          <w:color w:val="000000"/>
          <w:kern w:val="0"/>
          <w:sz w:val="22"/>
          <w:szCs w:val="22"/>
          <w14:ligatures w14:val="none"/>
        </w:rPr>
        <w:t>1</w:t>
      </w:r>
      <w:r w:rsidRPr="00764A7B">
        <w:rPr>
          <w:rFonts w:ascii="Arial" w:eastAsia="ＭＳ Ｐゴシック" w:hAnsi="Arial" w:cs="Arial"/>
          <w:color w:val="000000"/>
          <w:kern w:val="0"/>
          <w:sz w:val="22"/>
          <w:szCs w:val="22"/>
          <w14:ligatures w14:val="none"/>
        </w:rPr>
        <w:t>年間にわたる指導プログラムを実施した。自己調整能力の変容を測定するため、プレ・ポストの</w:t>
      </w:r>
      <w:r w:rsidRPr="00764A7B">
        <w:rPr>
          <w:rFonts w:ascii="Arial" w:eastAsia="ＭＳ Ｐゴシック" w:hAnsi="Arial" w:cs="Arial"/>
          <w:color w:val="000000"/>
          <w:kern w:val="0"/>
          <w:sz w:val="22"/>
          <w:szCs w:val="22"/>
          <w14:ligatures w14:val="none"/>
        </w:rPr>
        <w:t>2</w:t>
      </w:r>
      <w:r w:rsidRPr="00764A7B">
        <w:rPr>
          <w:rFonts w:ascii="Arial" w:eastAsia="ＭＳ Ｐゴシック" w:hAnsi="Arial" w:cs="Arial"/>
          <w:color w:val="000000"/>
          <w:kern w:val="0"/>
          <w:sz w:val="22"/>
          <w:szCs w:val="22"/>
          <w14:ligatures w14:val="none"/>
        </w:rPr>
        <w:t>時点で</w:t>
      </w:r>
      <w:r w:rsidRPr="00764A7B">
        <w:rPr>
          <w:rFonts w:ascii="Arial" w:eastAsia="ＭＳ Ｐゴシック" w:hAnsi="Arial" w:cs="Arial"/>
          <w:color w:val="000000"/>
          <w:kern w:val="0"/>
          <w:sz w:val="22"/>
          <w:szCs w:val="22"/>
          <w14:ligatures w14:val="none"/>
        </w:rPr>
        <w:t>7</w:t>
      </w:r>
      <w:r w:rsidRPr="00764A7B">
        <w:rPr>
          <w:rFonts w:ascii="Arial" w:eastAsia="ＭＳ Ｐゴシック" w:hAnsi="Arial" w:cs="Arial"/>
          <w:color w:val="000000"/>
          <w:kern w:val="0"/>
          <w:sz w:val="22"/>
          <w:szCs w:val="22"/>
          <w14:ligatures w14:val="none"/>
        </w:rPr>
        <w:t>項目の質問紙調査を行った。結果、事後の合計得点は事前と比較して統計的に有意な上昇を示した（</w:t>
      </w:r>
      <w:r w:rsidRPr="00764A7B">
        <w:rPr>
          <w:rFonts w:ascii="Arial" w:eastAsia="ＭＳ Ｐゴシック" w:hAnsi="Arial" w:cs="Arial"/>
          <w:color w:val="000000"/>
          <w:kern w:val="0"/>
          <w:sz w:val="22"/>
          <w:szCs w:val="22"/>
          <w14:ligatures w14:val="none"/>
        </w:rPr>
        <w:t>p &lt; .001</w:t>
      </w:r>
      <w:r w:rsidRPr="00764A7B">
        <w:rPr>
          <w:rFonts w:ascii="Arial" w:eastAsia="ＭＳ Ｐゴシック" w:hAnsi="Arial" w:cs="Arial"/>
          <w:color w:val="000000"/>
          <w:kern w:val="0"/>
          <w:sz w:val="22"/>
          <w:szCs w:val="22"/>
          <w14:ligatures w14:val="none"/>
        </w:rPr>
        <w:t>）。特に「動機付け調整方略」および「感情調整方略」の伸長が顕著であった。また、事前の学力テストで分類した高学力群と中学力群の双方において有意な向上が認められ、学力水準に関わらず普遍的な効果が確認された。他者への説明責任やハッピーレター制度による相互承認を組み込んだ協同学習プロセスが、児童の自己統制を促したと考えられる。本実践は、意図的な指導設計により、実技教科においても主体的な学びの基盤を育成できることを示唆している。</w:t>
      </w:r>
    </w:p>
    <w:p w14:paraId="417029EE"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Yu Mincho" w:eastAsia="Yu Mincho" w:hAnsi="Yu Mincho" w:cs="ＭＳ Ｐゴシック" w:hint="eastAsia"/>
          <w:b/>
          <w:bCs/>
          <w:color w:val="000000"/>
          <w:kern w:val="0"/>
          <w:sz w:val="22"/>
          <w:szCs w:val="22"/>
          <w14:ligatures w14:val="none"/>
        </w:rPr>
        <w:t>1.背景</w:t>
      </w:r>
    </w:p>
    <w:p w14:paraId="07056D5A"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Yu Mincho" w:eastAsia="Yu Mincho" w:hAnsi="Yu Mincho" w:cs="ＭＳ Ｐゴシック" w:hint="eastAsia"/>
          <w:color w:val="000000"/>
          <w:kern w:val="0"/>
          <w:sz w:val="22"/>
          <w:szCs w:val="22"/>
          <w14:ligatures w14:val="none"/>
        </w:rPr>
        <w:t> </w:t>
      </w:r>
      <w:r w:rsidRPr="00764A7B">
        <w:rPr>
          <w:rFonts w:ascii="Arial" w:eastAsia="ＭＳ Ｐゴシック" w:hAnsi="Arial" w:cs="Arial"/>
          <w:color w:val="000000"/>
          <w:kern w:val="0"/>
          <w:sz w:val="22"/>
          <w:szCs w:val="22"/>
          <w14:ligatures w14:val="none"/>
        </w:rPr>
        <w:t>自己調整学習（</w:t>
      </w:r>
      <w:r w:rsidRPr="00764A7B">
        <w:rPr>
          <w:rFonts w:ascii="Arial" w:eastAsia="ＭＳ Ｐゴシック" w:hAnsi="Arial" w:cs="Arial"/>
          <w:color w:val="000000"/>
          <w:kern w:val="0"/>
          <w:sz w:val="22"/>
          <w:szCs w:val="22"/>
          <w14:ligatures w14:val="none"/>
        </w:rPr>
        <w:t>Self-Regulated Learning: SRL</w:t>
      </w:r>
      <w:r w:rsidRPr="00764A7B">
        <w:rPr>
          <w:rFonts w:ascii="Arial" w:eastAsia="ＭＳ Ｐゴシック" w:hAnsi="Arial" w:cs="Arial"/>
          <w:color w:val="000000"/>
          <w:kern w:val="0"/>
          <w:sz w:val="22"/>
          <w:szCs w:val="22"/>
          <w14:ligatures w14:val="none"/>
        </w:rPr>
        <w:t>）は、学習者が能動的に学習に参加するプロセスであり、学業達成において極めて重要な役割を果たす。自己調整学習の枠組みを構築する上で最も影響力のある</w:t>
      </w:r>
      <w:r w:rsidRPr="00764A7B">
        <w:rPr>
          <w:rFonts w:ascii="Arial" w:eastAsia="ＭＳ Ｐゴシック" w:hAnsi="Arial" w:cs="Arial"/>
          <w:color w:val="000000"/>
          <w:kern w:val="0"/>
          <w:sz w:val="22"/>
          <w:szCs w:val="22"/>
          <w14:ligatures w14:val="none"/>
        </w:rPr>
        <w:t>Zimmerman(1989, 2001)</w:t>
      </w:r>
      <w:r w:rsidRPr="00764A7B">
        <w:rPr>
          <w:rFonts w:ascii="Arial" w:eastAsia="ＭＳ Ｐゴシック" w:hAnsi="Arial" w:cs="Arial"/>
          <w:color w:val="000000"/>
          <w:kern w:val="0"/>
          <w:sz w:val="22"/>
          <w:szCs w:val="22"/>
          <w14:ligatures w14:val="none"/>
        </w:rPr>
        <w:t>の社会的認知理論モデルによれば、</w:t>
      </w:r>
      <w:r w:rsidRPr="00764A7B">
        <w:rPr>
          <w:rFonts w:ascii="Arial" w:eastAsia="ＭＳ Ｐゴシック" w:hAnsi="Arial" w:cs="Arial"/>
          <w:color w:val="000000"/>
          <w:kern w:val="0"/>
          <w:sz w:val="22"/>
          <w:szCs w:val="22"/>
          <w14:ligatures w14:val="none"/>
        </w:rPr>
        <w:t>SRL</w:t>
      </w:r>
      <w:r w:rsidRPr="00764A7B">
        <w:rPr>
          <w:rFonts w:ascii="Arial" w:eastAsia="ＭＳ Ｐゴシック" w:hAnsi="Arial" w:cs="Arial"/>
          <w:color w:val="000000"/>
          <w:kern w:val="0"/>
          <w:sz w:val="22"/>
          <w:szCs w:val="22"/>
          <w14:ligatures w14:val="none"/>
        </w:rPr>
        <w:t>は「予見」「遂行」「自己省察」という</w:t>
      </w:r>
      <w:r w:rsidRPr="00764A7B">
        <w:rPr>
          <w:rFonts w:ascii="Arial" w:eastAsia="ＭＳ Ｐゴシック" w:hAnsi="Arial" w:cs="Arial"/>
          <w:color w:val="000000"/>
          <w:kern w:val="0"/>
          <w:sz w:val="22"/>
          <w:szCs w:val="22"/>
          <w14:ligatures w14:val="none"/>
        </w:rPr>
        <w:t>3</w:t>
      </w:r>
      <w:r w:rsidRPr="00764A7B">
        <w:rPr>
          <w:rFonts w:ascii="Arial" w:eastAsia="ＭＳ Ｐゴシック" w:hAnsi="Arial" w:cs="Arial"/>
          <w:color w:val="000000"/>
          <w:kern w:val="0"/>
          <w:sz w:val="22"/>
          <w:szCs w:val="22"/>
          <w14:ligatures w14:val="none"/>
        </w:rPr>
        <w:t>つの段階から構成され、これらが循環的に相互作用することで学習プロセス全体がコントロールされる</w:t>
      </w:r>
      <w:r w:rsidRPr="00764A7B">
        <w:rPr>
          <w:rFonts w:ascii="Arial" w:eastAsia="ＭＳ Ｐゴシック" w:hAnsi="Arial" w:cs="Arial"/>
          <w:color w:val="000000"/>
          <w:kern w:val="0"/>
          <w:sz w:val="22"/>
          <w:szCs w:val="22"/>
          <w:vertAlign w:val="superscript"/>
          <w14:ligatures w14:val="none"/>
        </w:rPr>
        <w:t>(1,2)</w:t>
      </w:r>
      <w:r w:rsidRPr="00764A7B">
        <w:rPr>
          <w:rFonts w:ascii="Arial" w:eastAsia="ＭＳ Ｐゴシック" w:hAnsi="Arial" w:cs="Arial"/>
          <w:color w:val="000000"/>
          <w:kern w:val="0"/>
          <w:sz w:val="22"/>
          <w:szCs w:val="22"/>
          <w14:ligatures w14:val="none"/>
        </w:rPr>
        <w:t>。また、</w:t>
      </w:r>
      <w:r w:rsidRPr="00764A7B">
        <w:rPr>
          <w:rFonts w:ascii="Arial" w:eastAsia="ＭＳ Ｐゴシック" w:hAnsi="Arial" w:cs="Arial"/>
          <w:color w:val="000000"/>
          <w:kern w:val="0"/>
          <w:sz w:val="22"/>
          <w:szCs w:val="22"/>
          <w14:ligatures w14:val="none"/>
        </w:rPr>
        <w:t>Zimmerman(2001)</w:t>
      </w:r>
      <w:r w:rsidRPr="00764A7B">
        <w:rPr>
          <w:rFonts w:ascii="Arial" w:eastAsia="ＭＳ Ｐゴシック" w:hAnsi="Arial" w:cs="Arial"/>
          <w:color w:val="000000"/>
          <w:kern w:val="0"/>
          <w:sz w:val="22"/>
          <w:szCs w:val="22"/>
          <w14:ligatures w14:val="none"/>
        </w:rPr>
        <w:t>は予見段階における自己効力感が動機づけの原動力となることを示し</w:t>
      </w:r>
      <w:r w:rsidRPr="00764A7B">
        <w:rPr>
          <w:rFonts w:ascii="Arial" w:eastAsia="ＭＳ Ｐゴシック" w:hAnsi="Arial" w:cs="Arial"/>
          <w:color w:val="000000"/>
          <w:kern w:val="0"/>
          <w:sz w:val="22"/>
          <w:szCs w:val="22"/>
          <w:vertAlign w:val="superscript"/>
          <w14:ligatures w14:val="none"/>
        </w:rPr>
        <w:t>(2)</w:t>
      </w:r>
      <w:r w:rsidRPr="00764A7B">
        <w:rPr>
          <w:rFonts w:ascii="Arial" w:eastAsia="ＭＳ Ｐゴシック" w:hAnsi="Arial" w:cs="Arial"/>
          <w:color w:val="000000"/>
          <w:kern w:val="0"/>
          <w:sz w:val="22"/>
          <w:szCs w:val="22"/>
          <w14:ligatures w14:val="none"/>
        </w:rPr>
        <w:t>、</w:t>
      </w:r>
      <w:proofErr w:type="spellStart"/>
      <w:r w:rsidRPr="00764A7B">
        <w:rPr>
          <w:rFonts w:ascii="Arial" w:eastAsia="ＭＳ Ｐゴシック" w:hAnsi="Arial" w:cs="Arial"/>
          <w:color w:val="000000"/>
          <w:kern w:val="0"/>
          <w:sz w:val="22"/>
          <w:szCs w:val="22"/>
          <w14:ligatures w14:val="none"/>
        </w:rPr>
        <w:t>Pintrich</w:t>
      </w:r>
      <w:proofErr w:type="spellEnd"/>
      <w:r w:rsidRPr="00764A7B">
        <w:rPr>
          <w:rFonts w:ascii="Arial" w:eastAsia="ＭＳ Ｐゴシック" w:hAnsi="Arial" w:cs="Arial"/>
          <w:color w:val="000000"/>
          <w:kern w:val="0"/>
          <w:sz w:val="22"/>
          <w:szCs w:val="22"/>
          <w14:ligatures w14:val="none"/>
        </w:rPr>
        <w:t>(2001)</w:t>
      </w:r>
      <w:r w:rsidRPr="00764A7B">
        <w:rPr>
          <w:rFonts w:ascii="Arial" w:eastAsia="ＭＳ Ｐゴシック" w:hAnsi="Arial" w:cs="Arial"/>
          <w:color w:val="000000"/>
          <w:kern w:val="0"/>
          <w:sz w:val="22"/>
          <w:szCs w:val="22"/>
          <w14:ligatures w14:val="none"/>
        </w:rPr>
        <w:t>は学習者の目標志向性が認知・動機づけ・行動・文脈の各側面を能動的に制御するプロセスを分類した</w:t>
      </w:r>
      <w:r w:rsidRPr="00764A7B">
        <w:rPr>
          <w:rFonts w:ascii="Arial" w:eastAsia="ＭＳ Ｐゴシック" w:hAnsi="Arial" w:cs="Arial"/>
          <w:color w:val="000000"/>
          <w:kern w:val="0"/>
          <w:sz w:val="22"/>
          <w:szCs w:val="22"/>
          <w:vertAlign w:val="superscript"/>
          <w14:ligatures w14:val="none"/>
        </w:rPr>
        <w:t>(3)</w:t>
      </w:r>
      <w:r w:rsidRPr="00764A7B">
        <w:rPr>
          <w:rFonts w:ascii="Arial" w:eastAsia="ＭＳ Ｐゴシック" w:hAnsi="Arial" w:cs="Arial"/>
          <w:color w:val="000000"/>
          <w:kern w:val="0"/>
          <w:sz w:val="22"/>
          <w:szCs w:val="22"/>
          <w14:ligatures w14:val="none"/>
        </w:rPr>
        <w:t>。これらに基づき、自己調整学習には、自身の思考や行動を振り返る「メタ認知」、学習を推進する「動機づけ」、学習効果を高めるための「学習方略」の</w:t>
      </w:r>
      <w:r w:rsidRPr="00764A7B">
        <w:rPr>
          <w:rFonts w:ascii="Arial" w:eastAsia="ＭＳ Ｐゴシック" w:hAnsi="Arial" w:cs="Arial"/>
          <w:color w:val="000000"/>
          <w:kern w:val="0"/>
          <w:sz w:val="22"/>
          <w:szCs w:val="22"/>
          <w14:ligatures w14:val="none"/>
        </w:rPr>
        <w:t>3</w:t>
      </w:r>
      <w:r w:rsidRPr="00764A7B">
        <w:rPr>
          <w:rFonts w:ascii="Arial" w:eastAsia="ＭＳ Ｐゴシック" w:hAnsi="Arial" w:cs="Arial"/>
          <w:color w:val="000000"/>
          <w:kern w:val="0"/>
          <w:sz w:val="22"/>
          <w:szCs w:val="22"/>
          <w14:ligatures w14:val="none"/>
        </w:rPr>
        <w:t>要素が不可欠であるとされる。</w:t>
      </w:r>
      <w:r w:rsidRPr="00764A7B">
        <w:rPr>
          <w:rFonts w:ascii="Arial" w:eastAsia="ＭＳ Ｐゴシック" w:hAnsi="Arial" w:cs="Arial"/>
          <w:color w:val="000000"/>
          <w:kern w:val="0"/>
          <w:sz w:val="22"/>
          <w:szCs w:val="22"/>
          <w14:ligatures w14:val="none"/>
        </w:rPr>
        <w:t> </w:t>
      </w:r>
    </w:p>
    <w:p w14:paraId="7640B9A8"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Zimmerman(1989, 2001)</w:t>
      </w:r>
      <w:r w:rsidRPr="00764A7B">
        <w:rPr>
          <w:rFonts w:ascii="Arial" w:eastAsia="ＭＳ Ｐゴシック" w:hAnsi="Arial" w:cs="Arial"/>
          <w:color w:val="000000"/>
          <w:kern w:val="0"/>
          <w:sz w:val="22"/>
          <w:szCs w:val="22"/>
          <w14:ligatures w14:val="none"/>
        </w:rPr>
        <w:t>は、それぞれの</w:t>
      </w:r>
      <w:r w:rsidRPr="00764A7B">
        <w:rPr>
          <w:rFonts w:ascii="Arial" w:eastAsia="ＭＳ Ｐゴシック" w:hAnsi="Arial" w:cs="Arial"/>
          <w:color w:val="000000"/>
          <w:kern w:val="0"/>
          <w:sz w:val="22"/>
          <w:szCs w:val="22"/>
          <w14:ligatures w14:val="none"/>
        </w:rPr>
        <w:t>SRL</w:t>
      </w:r>
      <w:r w:rsidRPr="00764A7B">
        <w:rPr>
          <w:rFonts w:ascii="Arial" w:eastAsia="ＭＳ Ｐゴシック" w:hAnsi="Arial" w:cs="Arial"/>
          <w:color w:val="000000"/>
          <w:kern w:val="0"/>
          <w:sz w:val="22"/>
          <w:szCs w:val="22"/>
          <w14:ligatures w14:val="none"/>
        </w:rPr>
        <w:t>理論において、これら</w:t>
      </w:r>
      <w:r w:rsidRPr="00764A7B">
        <w:rPr>
          <w:rFonts w:ascii="Arial" w:eastAsia="ＭＳ Ｐゴシック" w:hAnsi="Arial" w:cs="Arial"/>
          <w:color w:val="000000"/>
          <w:kern w:val="0"/>
          <w:sz w:val="22"/>
          <w:szCs w:val="22"/>
          <w14:ligatures w14:val="none"/>
        </w:rPr>
        <w:t>3</w:t>
      </w:r>
      <w:r w:rsidRPr="00764A7B">
        <w:rPr>
          <w:rFonts w:ascii="Arial" w:eastAsia="ＭＳ Ｐゴシック" w:hAnsi="Arial" w:cs="Arial"/>
          <w:color w:val="000000"/>
          <w:kern w:val="0"/>
          <w:sz w:val="22"/>
          <w:szCs w:val="22"/>
          <w14:ligatures w14:val="none"/>
        </w:rPr>
        <w:t>要素の重要な役割を強調している</w:t>
      </w:r>
      <w:r w:rsidRPr="00764A7B">
        <w:rPr>
          <w:rFonts w:ascii="Arial" w:eastAsia="ＭＳ Ｐゴシック" w:hAnsi="Arial" w:cs="Arial"/>
          <w:color w:val="000000"/>
          <w:kern w:val="0"/>
          <w:sz w:val="22"/>
          <w:szCs w:val="22"/>
          <w:vertAlign w:val="superscript"/>
          <w14:ligatures w14:val="none"/>
        </w:rPr>
        <w:t>(1,2)</w:t>
      </w:r>
      <w:r w:rsidRPr="00764A7B">
        <w:rPr>
          <w:rFonts w:ascii="Arial" w:eastAsia="ＭＳ Ｐゴシック" w:hAnsi="Arial" w:cs="Arial"/>
          <w:color w:val="000000"/>
          <w:kern w:val="0"/>
          <w:sz w:val="22"/>
          <w:szCs w:val="22"/>
          <w14:ligatures w14:val="none"/>
        </w:rPr>
        <w:t>。第一の要素である「メタ認知」は、自己調整能力の中核的な要素であり、学習者が自分の思考や学習プロセスを認識し、監視し、制御する能力を指す。岡田</w:t>
      </w:r>
      <w:r w:rsidRPr="00764A7B">
        <w:rPr>
          <w:rFonts w:ascii="Arial" w:eastAsia="ＭＳ Ｐゴシック" w:hAnsi="Arial" w:cs="Arial"/>
          <w:color w:val="000000"/>
          <w:kern w:val="0"/>
          <w:sz w:val="22"/>
          <w:szCs w:val="22"/>
          <w14:ligatures w14:val="none"/>
        </w:rPr>
        <w:t>(2022)</w:t>
      </w:r>
      <w:r w:rsidRPr="00764A7B">
        <w:rPr>
          <w:rFonts w:ascii="Arial" w:eastAsia="ＭＳ Ｐゴシック" w:hAnsi="Arial" w:cs="Arial"/>
          <w:color w:val="000000"/>
          <w:kern w:val="0"/>
          <w:sz w:val="22"/>
          <w:szCs w:val="22"/>
          <w14:ligatures w14:val="none"/>
        </w:rPr>
        <w:t>はメタ認知を踏まえた具体的な指導法として</w:t>
      </w:r>
      <w:r w:rsidRPr="00764A7B">
        <w:rPr>
          <w:rFonts w:ascii="Arial" w:eastAsia="ＭＳ Ｐゴシック" w:hAnsi="Arial" w:cs="Arial"/>
          <w:color w:val="000000"/>
          <w:kern w:val="0"/>
          <w:sz w:val="22"/>
          <w:szCs w:val="22"/>
          <w14:ligatures w14:val="none"/>
        </w:rPr>
        <w:t>3</w:t>
      </w:r>
      <w:r w:rsidRPr="00764A7B">
        <w:rPr>
          <w:rFonts w:ascii="Arial" w:eastAsia="ＭＳ Ｐゴシック" w:hAnsi="Arial" w:cs="Arial"/>
          <w:color w:val="000000"/>
          <w:kern w:val="0"/>
          <w:sz w:val="22"/>
          <w:szCs w:val="22"/>
          <w14:ligatures w14:val="none"/>
        </w:rPr>
        <w:t>点を提案している</w:t>
      </w:r>
      <w:r w:rsidRPr="00764A7B">
        <w:rPr>
          <w:rFonts w:ascii="Arial" w:eastAsia="ＭＳ Ｐゴシック" w:hAnsi="Arial" w:cs="Arial"/>
          <w:color w:val="000000"/>
          <w:kern w:val="0"/>
          <w:sz w:val="22"/>
          <w:szCs w:val="22"/>
          <w:vertAlign w:val="superscript"/>
          <w14:ligatures w14:val="none"/>
        </w:rPr>
        <w:t>(4)</w:t>
      </w:r>
      <w:r w:rsidRPr="00764A7B">
        <w:rPr>
          <w:rFonts w:ascii="Arial" w:eastAsia="ＭＳ Ｐゴシック" w:hAnsi="Arial" w:cs="Arial"/>
          <w:color w:val="000000"/>
          <w:kern w:val="0"/>
          <w:sz w:val="22"/>
          <w:szCs w:val="22"/>
          <w14:ligatures w14:val="none"/>
        </w:rPr>
        <w:t>。</w:t>
      </w:r>
      <w:r w:rsidRPr="00764A7B">
        <w:rPr>
          <w:rFonts w:ascii="Arial" w:eastAsia="ＭＳ Ｐゴシック" w:hAnsi="Arial" w:cs="Arial"/>
          <w:color w:val="000000"/>
          <w:kern w:val="0"/>
          <w:sz w:val="22"/>
          <w:szCs w:val="22"/>
          <w14:ligatures w14:val="none"/>
        </w:rPr>
        <w:t>1</w:t>
      </w:r>
      <w:r w:rsidRPr="00764A7B">
        <w:rPr>
          <w:rFonts w:ascii="Arial" w:eastAsia="ＭＳ Ｐゴシック" w:hAnsi="Arial" w:cs="Arial"/>
          <w:color w:val="000000"/>
          <w:kern w:val="0"/>
          <w:sz w:val="22"/>
          <w:szCs w:val="22"/>
          <w14:ligatures w14:val="none"/>
        </w:rPr>
        <w:t>点目は、教師が児童に具体的かつ達成可能な目標を設定し、学習計画を立てるよう促す「学習目標の設定支援」である。学習者がメタ認知的に自分の能力を評価し、それに基づいて適切な学習目標を設定できるようにすることが、自己効力感の向上や学習の成功促進に繋がる。</w:t>
      </w:r>
      <w:r w:rsidRPr="00764A7B">
        <w:rPr>
          <w:rFonts w:ascii="Arial" w:eastAsia="ＭＳ Ｐゴシック" w:hAnsi="Arial" w:cs="Arial"/>
          <w:color w:val="000000"/>
          <w:kern w:val="0"/>
          <w:sz w:val="22"/>
          <w:szCs w:val="22"/>
          <w14:ligatures w14:val="none"/>
        </w:rPr>
        <w:t>2</w:t>
      </w:r>
      <w:r w:rsidRPr="00764A7B">
        <w:rPr>
          <w:rFonts w:ascii="Arial" w:eastAsia="ＭＳ Ｐゴシック" w:hAnsi="Arial" w:cs="Arial"/>
          <w:color w:val="000000"/>
          <w:kern w:val="0"/>
          <w:sz w:val="22"/>
          <w:szCs w:val="22"/>
          <w14:ligatures w14:val="none"/>
        </w:rPr>
        <w:t>点目は、児童が自己の学習進捗を振り返り、改善点を把握するためのチェックリストや記録を使用する「自己モニ</w:t>
      </w:r>
      <w:r w:rsidRPr="00764A7B">
        <w:rPr>
          <w:rFonts w:ascii="Arial" w:eastAsia="ＭＳ Ｐゴシック" w:hAnsi="Arial" w:cs="Arial"/>
          <w:color w:val="000000"/>
          <w:kern w:val="0"/>
          <w:sz w:val="22"/>
          <w:szCs w:val="22"/>
          <w14:ligatures w14:val="none"/>
        </w:rPr>
        <w:lastRenderedPageBreak/>
        <w:t>タリングの促進」である。これにより、自分の進行方向が正しいかを評価し、間違っている場合には学習戦略を修正できるため、より効率的な学習が可能となる。</w:t>
      </w:r>
      <w:r w:rsidRPr="00764A7B">
        <w:rPr>
          <w:rFonts w:ascii="Arial" w:eastAsia="ＭＳ Ｐゴシック" w:hAnsi="Arial" w:cs="Arial"/>
          <w:color w:val="000000"/>
          <w:kern w:val="0"/>
          <w:sz w:val="22"/>
          <w:szCs w:val="22"/>
          <w14:ligatures w14:val="none"/>
        </w:rPr>
        <w:t>3</w:t>
      </w:r>
      <w:r w:rsidRPr="00764A7B">
        <w:rPr>
          <w:rFonts w:ascii="Arial" w:eastAsia="ＭＳ Ｐゴシック" w:hAnsi="Arial" w:cs="Arial"/>
          <w:color w:val="000000"/>
          <w:kern w:val="0"/>
          <w:sz w:val="22"/>
          <w:szCs w:val="22"/>
          <w14:ligatures w14:val="none"/>
        </w:rPr>
        <w:t>点目は、学習の成果に対する「フィードバックを分析」し、次の学習行動を改善する方法の指導である。学習者がメタ認知的に自分の成果を分析することで、教師や他者からのフィードバックを効果的に活用し、学習の改善に役立てることができる。</w:t>
      </w:r>
      <w:r w:rsidRPr="00764A7B">
        <w:rPr>
          <w:rFonts w:ascii="Arial" w:eastAsia="ＭＳ Ｐゴシック" w:hAnsi="Arial" w:cs="Arial"/>
          <w:color w:val="000000"/>
          <w:kern w:val="0"/>
          <w:sz w:val="22"/>
          <w:szCs w:val="22"/>
          <w14:ligatures w14:val="none"/>
        </w:rPr>
        <w:t xml:space="preserve"> </w:t>
      </w:r>
      <w:r w:rsidRPr="00764A7B">
        <w:rPr>
          <w:rFonts w:ascii="Arial" w:eastAsia="ＭＳ Ｐゴシック" w:hAnsi="Arial" w:cs="Arial"/>
          <w:color w:val="000000"/>
          <w:kern w:val="0"/>
          <w:sz w:val="22"/>
          <w:szCs w:val="22"/>
          <w14:ligatures w14:val="none"/>
        </w:rPr>
        <w:t>第二の要素である「動機づけ」に関して、</w:t>
      </w:r>
      <w:r w:rsidRPr="00764A7B">
        <w:rPr>
          <w:rFonts w:ascii="Arial" w:eastAsia="ＭＳ Ｐゴシック" w:hAnsi="Arial" w:cs="Arial"/>
          <w:color w:val="000000"/>
          <w:kern w:val="0"/>
          <w:sz w:val="22"/>
          <w:szCs w:val="22"/>
          <w14:ligatures w14:val="none"/>
        </w:rPr>
        <w:t>Zimmerman(1989, 2001)</w:t>
      </w:r>
      <w:r w:rsidRPr="00764A7B">
        <w:rPr>
          <w:rFonts w:ascii="Arial" w:eastAsia="ＭＳ Ｐゴシック" w:hAnsi="Arial" w:cs="Arial"/>
          <w:color w:val="000000"/>
          <w:kern w:val="0"/>
          <w:sz w:val="22"/>
          <w:szCs w:val="22"/>
          <w14:ligatures w14:val="none"/>
        </w:rPr>
        <w:t>はこれを自己調整学習において最も重要な要素としている</w:t>
      </w:r>
      <w:r w:rsidRPr="00764A7B">
        <w:rPr>
          <w:rFonts w:ascii="Arial" w:eastAsia="ＭＳ Ｐゴシック" w:hAnsi="Arial" w:cs="Arial"/>
          <w:color w:val="000000"/>
          <w:kern w:val="0"/>
          <w:sz w:val="22"/>
          <w:szCs w:val="22"/>
          <w:vertAlign w:val="superscript"/>
          <w14:ligatures w14:val="none"/>
        </w:rPr>
        <w:t>(1,2)</w:t>
      </w:r>
      <w:r w:rsidRPr="00764A7B">
        <w:rPr>
          <w:rFonts w:ascii="Arial" w:eastAsia="ＭＳ Ｐゴシック" w:hAnsi="Arial" w:cs="Arial"/>
          <w:color w:val="000000"/>
          <w:kern w:val="0"/>
          <w:sz w:val="22"/>
          <w:szCs w:val="22"/>
          <w14:ligatures w14:val="none"/>
        </w:rPr>
        <w:t>。その理由は、動機づけが学習者の目標設定や努力の継続、学習方略の選択に直接影響を与えるからであり、学習の成功を支える原動力となるためである。高い動機づけがあることで、学習者は困難な課題にも挑戦し続け、自己効力感を高め、より効果的な学習方略を使用する傾向が強くなる。具体的な動機づけの指導としては以下の</w:t>
      </w:r>
      <w:r w:rsidRPr="00764A7B">
        <w:rPr>
          <w:rFonts w:ascii="Arial" w:eastAsia="ＭＳ Ｐゴシック" w:hAnsi="Arial" w:cs="Arial"/>
          <w:color w:val="000000"/>
          <w:kern w:val="0"/>
          <w:sz w:val="22"/>
          <w:szCs w:val="22"/>
          <w14:ligatures w14:val="none"/>
        </w:rPr>
        <w:t>3</w:t>
      </w:r>
      <w:r w:rsidRPr="00764A7B">
        <w:rPr>
          <w:rFonts w:ascii="Arial" w:eastAsia="ＭＳ Ｐゴシック" w:hAnsi="Arial" w:cs="Arial"/>
          <w:color w:val="000000"/>
          <w:kern w:val="0"/>
          <w:sz w:val="22"/>
          <w:szCs w:val="22"/>
          <w14:ligatures w14:val="none"/>
        </w:rPr>
        <w:t>点が挙げられる。</w:t>
      </w:r>
      <w:r w:rsidRPr="00764A7B">
        <w:rPr>
          <w:rFonts w:ascii="Arial" w:eastAsia="ＭＳ Ｐゴシック" w:hAnsi="Arial" w:cs="Arial"/>
          <w:color w:val="000000"/>
          <w:kern w:val="0"/>
          <w:sz w:val="22"/>
          <w:szCs w:val="22"/>
          <w14:ligatures w14:val="none"/>
        </w:rPr>
        <w:t>1</w:t>
      </w:r>
      <w:r w:rsidRPr="00764A7B">
        <w:rPr>
          <w:rFonts w:ascii="Arial" w:eastAsia="ＭＳ Ｐゴシック" w:hAnsi="Arial" w:cs="Arial"/>
          <w:color w:val="000000"/>
          <w:kern w:val="0"/>
          <w:sz w:val="22"/>
          <w:szCs w:val="22"/>
          <w14:ligatures w14:val="none"/>
        </w:rPr>
        <w:t>点目は、達成可能な目標設定を達成することで小さな成功体験を得させ、挑戦する意欲と自己効力感の向上に繋げること。</w:t>
      </w:r>
      <w:r w:rsidRPr="00764A7B">
        <w:rPr>
          <w:rFonts w:ascii="Arial" w:eastAsia="ＭＳ Ｐゴシック" w:hAnsi="Arial" w:cs="Arial"/>
          <w:color w:val="000000"/>
          <w:kern w:val="0"/>
          <w:sz w:val="22"/>
          <w:szCs w:val="22"/>
          <w14:ligatures w14:val="none"/>
        </w:rPr>
        <w:t>2</w:t>
      </w:r>
      <w:r w:rsidRPr="00764A7B">
        <w:rPr>
          <w:rFonts w:ascii="Arial" w:eastAsia="ＭＳ Ｐゴシック" w:hAnsi="Arial" w:cs="Arial"/>
          <w:color w:val="000000"/>
          <w:kern w:val="0"/>
          <w:sz w:val="22"/>
          <w:szCs w:val="22"/>
          <w14:ligatures w14:val="none"/>
        </w:rPr>
        <w:t>点目は、興味のある課題や自己選択の機会を提供することで、学習そのものを楽しむ内発的動機づけを強化すること。</w:t>
      </w:r>
      <w:r w:rsidRPr="00764A7B">
        <w:rPr>
          <w:rFonts w:ascii="Arial" w:eastAsia="ＭＳ Ｐゴシック" w:hAnsi="Arial" w:cs="Arial"/>
          <w:color w:val="000000"/>
          <w:kern w:val="0"/>
          <w:sz w:val="22"/>
          <w:szCs w:val="22"/>
          <w14:ligatures w14:val="none"/>
        </w:rPr>
        <w:t>3</w:t>
      </w:r>
      <w:r w:rsidRPr="00764A7B">
        <w:rPr>
          <w:rFonts w:ascii="Arial" w:eastAsia="ＭＳ Ｐゴシック" w:hAnsi="Arial" w:cs="Arial"/>
          <w:color w:val="000000"/>
          <w:kern w:val="0"/>
          <w:sz w:val="22"/>
          <w:szCs w:val="22"/>
          <w14:ligatures w14:val="none"/>
        </w:rPr>
        <w:t>点目は、フィードバックを通じて努力の価値を認識させ、継続して学び続ける動機を強化するための報酬の活用である。</w:t>
      </w:r>
      <w:r w:rsidRPr="00764A7B">
        <w:rPr>
          <w:rFonts w:ascii="Arial" w:eastAsia="ＭＳ Ｐゴシック" w:hAnsi="Arial" w:cs="Arial"/>
          <w:color w:val="000000"/>
          <w:kern w:val="0"/>
          <w:sz w:val="22"/>
          <w:szCs w:val="22"/>
          <w14:ligatures w14:val="none"/>
        </w:rPr>
        <w:t xml:space="preserve">  </w:t>
      </w:r>
    </w:p>
    <w:p w14:paraId="2C1F696E"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第三の要素である「学習方略」は、学習者が自らの目標達成のために選択・活用する方法であり、目標に向かう過程で認知的・メタ認知的な方法を組み合わせることで効率的な学習を促進する役割を果たす。</w:t>
      </w:r>
      <w:r w:rsidRPr="00764A7B">
        <w:rPr>
          <w:rFonts w:ascii="Arial" w:eastAsia="ＭＳ Ｐゴシック" w:hAnsi="Arial" w:cs="Arial"/>
          <w:color w:val="000000"/>
          <w:kern w:val="0"/>
          <w:sz w:val="22"/>
          <w:szCs w:val="22"/>
          <w14:ligatures w14:val="none"/>
        </w:rPr>
        <w:t>Zimmerman(2001)</w:t>
      </w:r>
      <w:r w:rsidRPr="00764A7B">
        <w:rPr>
          <w:rFonts w:ascii="Arial" w:eastAsia="ＭＳ Ｐゴシック" w:hAnsi="Arial" w:cs="Arial"/>
          <w:color w:val="000000"/>
          <w:kern w:val="0"/>
          <w:sz w:val="22"/>
          <w:szCs w:val="22"/>
          <w14:ligatures w14:val="none"/>
        </w:rPr>
        <w:t>は、学習方略が自己調整の一部として学習者が計画・監視・評価を行う過程で重要だとし、状況に応じた調整を重視している</w:t>
      </w:r>
      <w:r w:rsidRPr="00764A7B">
        <w:rPr>
          <w:rFonts w:ascii="Arial" w:eastAsia="ＭＳ Ｐゴシック" w:hAnsi="Arial" w:cs="Arial"/>
          <w:color w:val="000000"/>
          <w:kern w:val="0"/>
          <w:sz w:val="22"/>
          <w:szCs w:val="22"/>
          <w:vertAlign w:val="superscript"/>
          <w14:ligatures w14:val="none"/>
        </w:rPr>
        <w:t>(2)</w:t>
      </w:r>
      <w:r w:rsidRPr="00764A7B">
        <w:rPr>
          <w:rFonts w:ascii="Arial" w:eastAsia="ＭＳ Ｐゴシック" w:hAnsi="Arial" w:cs="Arial"/>
          <w:color w:val="000000"/>
          <w:kern w:val="0"/>
          <w:sz w:val="22"/>
          <w:szCs w:val="22"/>
          <w14:ligatures w14:val="none"/>
        </w:rPr>
        <w:t>。また、自己効力感と動機づけが学習方略の選択や効果的な使用に影響を与えることを指摘し、目標達成に向けた適切な方略選びの必要性を強調している。具体的な指導手立てとしては、学習者に多様な学習方略を紹介し具体的な使用方法を教える指導、学習者が自分の学習状況に応じてどの方略を選択し調整するかを自己調整できるようにサポートする支援、そして学習方略を繰り返し練習させ、実践の中でその効果を確認させる反復練習が有効であると考えられている。</w:t>
      </w:r>
      <w:r w:rsidRPr="00764A7B">
        <w:rPr>
          <w:rFonts w:ascii="Arial" w:eastAsia="ＭＳ Ｐゴシック" w:hAnsi="Arial" w:cs="Arial"/>
          <w:color w:val="000000"/>
          <w:kern w:val="0"/>
          <w:sz w:val="22"/>
          <w:szCs w:val="22"/>
          <w14:ligatures w14:val="none"/>
        </w:rPr>
        <w:t> </w:t>
      </w:r>
    </w:p>
    <w:p w14:paraId="4C1C5D21"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以上の要素を総合し、自己調整能力を育成するために必要な指導上のアプローチについて整理した結果、興味関心を惹く達成可能な目標を設定し、学習者が適切な学習方略を選択する機会や自己の学習進捗状況を客観的に評価する機会を与え、適宜動機づけのために報酬を与える指導法が適切であると言える。</w:t>
      </w:r>
      <w:r w:rsidRPr="00764A7B">
        <w:rPr>
          <w:rFonts w:ascii="Arial" w:eastAsia="ＭＳ Ｐゴシック" w:hAnsi="Arial" w:cs="Arial"/>
          <w:color w:val="000000"/>
          <w:kern w:val="0"/>
          <w:sz w:val="22"/>
          <w:szCs w:val="22"/>
          <w14:ligatures w14:val="none"/>
        </w:rPr>
        <w:t> </w:t>
      </w:r>
    </w:p>
    <w:p w14:paraId="772D8F5B"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しかし、岡田（</w:t>
      </w:r>
      <w:r w:rsidRPr="00764A7B">
        <w:rPr>
          <w:rFonts w:ascii="Arial" w:eastAsia="ＭＳ Ｐゴシック" w:hAnsi="Arial" w:cs="Arial"/>
          <w:color w:val="000000"/>
          <w:kern w:val="0"/>
          <w:sz w:val="22"/>
          <w:szCs w:val="22"/>
          <w14:ligatures w14:val="none"/>
        </w:rPr>
        <w:t>2022</w:t>
      </w:r>
      <w:r w:rsidRPr="00764A7B">
        <w:rPr>
          <w:rFonts w:ascii="Arial" w:eastAsia="ＭＳ Ｐゴシック" w:hAnsi="Arial" w:cs="Arial"/>
          <w:color w:val="000000"/>
          <w:kern w:val="0"/>
          <w:sz w:val="22"/>
          <w:szCs w:val="22"/>
          <w14:ligatures w14:val="none"/>
        </w:rPr>
        <w:t>）が国内の自己調整学習の研究動向を総括した結果、これまでの実証研究の多くは算数・数学や英語といった特定の認知的な教科に集中していることが指摘されている</w:t>
      </w:r>
      <w:r w:rsidRPr="00764A7B">
        <w:rPr>
          <w:rFonts w:ascii="Arial" w:eastAsia="ＭＳ Ｐゴシック" w:hAnsi="Arial" w:cs="Arial"/>
          <w:color w:val="000000"/>
          <w:kern w:val="0"/>
          <w:sz w:val="22"/>
          <w:szCs w:val="22"/>
          <w:vertAlign w:val="superscript"/>
          <w14:ligatures w14:val="none"/>
        </w:rPr>
        <w:t>(4)</w:t>
      </w:r>
      <w:r w:rsidRPr="00764A7B">
        <w:rPr>
          <w:rFonts w:ascii="Arial" w:eastAsia="ＭＳ Ｐゴシック" w:hAnsi="Arial" w:cs="Arial"/>
          <w:color w:val="000000"/>
          <w:kern w:val="0"/>
          <w:sz w:val="22"/>
          <w:szCs w:val="22"/>
          <w14:ligatures w14:val="none"/>
        </w:rPr>
        <w:t>。これは、実証の理論的根拠となっている海外の研究が同様の教科に偏重しているためと推測される。したがって、</w:t>
      </w:r>
      <w:r w:rsidRPr="00764A7B">
        <w:rPr>
          <w:rFonts w:ascii="Arial" w:eastAsia="ＭＳ Ｐゴシック" w:hAnsi="Arial" w:cs="Arial"/>
          <w:color w:val="000000"/>
          <w:kern w:val="0"/>
          <w:sz w:val="22"/>
          <w:szCs w:val="22"/>
          <w14:ligatures w14:val="none"/>
        </w:rPr>
        <w:t>Zimmerman</w:t>
      </w:r>
      <w:r w:rsidRPr="00764A7B">
        <w:rPr>
          <w:rFonts w:ascii="Arial" w:eastAsia="ＭＳ Ｐゴシック" w:hAnsi="Arial" w:cs="Arial"/>
          <w:color w:val="000000"/>
          <w:kern w:val="0"/>
          <w:sz w:val="22"/>
          <w:szCs w:val="22"/>
          <w14:ligatures w14:val="none"/>
        </w:rPr>
        <w:t>や</w:t>
      </w:r>
      <w:proofErr w:type="spellStart"/>
      <w:r w:rsidRPr="00764A7B">
        <w:rPr>
          <w:rFonts w:ascii="Arial" w:eastAsia="ＭＳ Ｐゴシック" w:hAnsi="Arial" w:cs="Arial"/>
          <w:color w:val="000000"/>
          <w:kern w:val="0"/>
          <w:sz w:val="22"/>
          <w:szCs w:val="22"/>
          <w14:ligatures w14:val="none"/>
        </w:rPr>
        <w:t>Pintrich</w:t>
      </w:r>
      <w:proofErr w:type="spellEnd"/>
      <w:r w:rsidRPr="00764A7B">
        <w:rPr>
          <w:rFonts w:ascii="Arial" w:eastAsia="ＭＳ Ｐゴシック" w:hAnsi="Arial" w:cs="Arial"/>
          <w:color w:val="000000"/>
          <w:kern w:val="0"/>
          <w:sz w:val="22"/>
          <w:szCs w:val="22"/>
          <w14:ligatures w14:val="none"/>
        </w:rPr>
        <w:t>らの理論モデルが、実技や表現活動を伴う「音楽科」の自己調整能力向上にどの程度適応できるのかを実証することは極めて意義深い</w:t>
      </w:r>
      <w:r w:rsidRPr="00764A7B">
        <w:rPr>
          <w:rFonts w:ascii="Arial" w:eastAsia="ＭＳ Ｐゴシック" w:hAnsi="Arial" w:cs="Arial"/>
          <w:color w:val="000000"/>
          <w:kern w:val="0"/>
          <w:sz w:val="22"/>
          <w:szCs w:val="22"/>
          <w:vertAlign w:val="superscript"/>
          <w14:ligatures w14:val="none"/>
        </w:rPr>
        <w:t>(1,2,3)</w:t>
      </w:r>
      <w:r w:rsidRPr="00764A7B">
        <w:rPr>
          <w:rFonts w:ascii="Arial" w:eastAsia="ＭＳ Ｐゴシック" w:hAnsi="Arial" w:cs="Arial"/>
          <w:color w:val="000000"/>
          <w:kern w:val="0"/>
          <w:sz w:val="22"/>
          <w:szCs w:val="22"/>
          <w14:ligatures w14:val="none"/>
        </w:rPr>
        <w:t>。現在の日本の音楽教育では、指導者が設定した「正解の表現」に近づける教師主導の訓練が中心となりやすく、「上手に演奏しなければならない」というプレッシャーから児童に苦手意識を抱かせてしまう課題がある。これを打破するためには、学習者が自ら表現意</w:t>
      </w:r>
      <w:r w:rsidRPr="00764A7B">
        <w:rPr>
          <w:rFonts w:ascii="Arial" w:eastAsia="ＭＳ Ｐゴシック" w:hAnsi="Arial" w:cs="Arial"/>
          <w:color w:val="000000"/>
          <w:kern w:val="0"/>
          <w:sz w:val="22"/>
          <w:szCs w:val="22"/>
          <w14:ligatures w14:val="none"/>
        </w:rPr>
        <w:lastRenderedPageBreak/>
        <w:t>図を構築する目標設定の段階から主体的に関わり、自らの力で情報を判断して表現方法を決定する「自己選択の機会」を通じた自己調整力の育成が必要不可欠である。</w:t>
      </w:r>
    </w:p>
    <w:p w14:paraId="29E18421"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xml:space="preserve">  </w:t>
      </w:r>
      <w:r w:rsidRPr="00764A7B">
        <w:rPr>
          <w:rFonts w:ascii="Arial" w:eastAsia="ＭＳ Ｐゴシック" w:hAnsi="Arial" w:cs="Arial"/>
          <w:color w:val="000000"/>
          <w:kern w:val="0"/>
          <w:sz w:val="22"/>
          <w:szCs w:val="22"/>
          <w14:ligatures w14:val="none"/>
        </w:rPr>
        <w:t>なお、心理学や学校の枠組みで行われる支援・指導論としての「自己調整学習」に対し、現在の教育課程上では、これを生活面における目標設定や感情の管理を含み、児童が社会で自立して生きていくための「自己調整力（生きる力）」として広義に位置付けている。この「生きる力」としての自己調整力を育成するため、教育現場では多様な実践が試みられている。例えば、滋賀県の秦荘西小学校では「生活・宿題プランニング」や自己選択学習（秦西タイム）を導入し、生活全般と学習における自己調整のサイクルを回している。また、東京都目黒区立東山小学校等でも、教科学習の疑問を活かした自律的な学習の時間が設けられている（令和</w:t>
      </w:r>
      <w:r w:rsidRPr="00764A7B">
        <w:rPr>
          <w:rFonts w:ascii="Arial" w:eastAsia="ＭＳ Ｐゴシック" w:hAnsi="Arial" w:cs="Arial"/>
          <w:color w:val="000000"/>
          <w:kern w:val="0"/>
          <w:sz w:val="22"/>
          <w:szCs w:val="22"/>
          <w14:ligatures w14:val="none"/>
        </w:rPr>
        <w:t>7</w:t>
      </w:r>
      <w:r w:rsidRPr="00764A7B">
        <w:rPr>
          <w:rFonts w:ascii="Arial" w:eastAsia="ＭＳ Ｐゴシック" w:hAnsi="Arial" w:cs="Arial"/>
          <w:color w:val="000000"/>
          <w:kern w:val="0"/>
          <w:sz w:val="22"/>
          <w:szCs w:val="22"/>
          <w14:ligatures w14:val="none"/>
        </w:rPr>
        <w:t>年</w:t>
      </w:r>
      <w:r w:rsidRPr="00764A7B">
        <w:rPr>
          <w:rFonts w:ascii="Arial" w:eastAsia="ＭＳ Ｐゴシック" w:hAnsi="Arial" w:cs="Arial"/>
          <w:color w:val="000000"/>
          <w:kern w:val="0"/>
          <w:sz w:val="22"/>
          <w:szCs w:val="22"/>
          <w14:ligatures w14:val="none"/>
        </w:rPr>
        <w:t>3</w:t>
      </w:r>
      <w:r w:rsidRPr="00764A7B">
        <w:rPr>
          <w:rFonts w:ascii="Arial" w:eastAsia="ＭＳ Ｐゴシック" w:hAnsi="Arial" w:cs="Arial"/>
          <w:color w:val="000000"/>
          <w:kern w:val="0"/>
          <w:sz w:val="22"/>
          <w:szCs w:val="22"/>
          <w14:ligatures w14:val="none"/>
        </w:rPr>
        <w:t>月</w:t>
      </w:r>
      <w:r w:rsidRPr="00764A7B">
        <w:rPr>
          <w:rFonts w:ascii="Arial" w:eastAsia="ＭＳ Ｐゴシック" w:hAnsi="Arial" w:cs="Arial"/>
          <w:color w:val="000000"/>
          <w:kern w:val="0"/>
          <w:sz w:val="22"/>
          <w:szCs w:val="22"/>
          <w14:ligatures w14:val="none"/>
        </w:rPr>
        <w:t>28</w:t>
      </w:r>
      <w:r w:rsidRPr="00764A7B">
        <w:rPr>
          <w:rFonts w:ascii="Arial" w:eastAsia="ＭＳ Ｐゴシック" w:hAnsi="Arial" w:cs="Arial"/>
          <w:color w:val="000000"/>
          <w:kern w:val="0"/>
          <w:sz w:val="22"/>
          <w:szCs w:val="22"/>
          <w14:ligatures w14:val="none"/>
        </w:rPr>
        <w:t>日教育課程企画特別部会</w:t>
      </w:r>
      <w:r w:rsidRPr="00764A7B">
        <w:rPr>
          <w:rFonts w:ascii="Arial" w:eastAsia="ＭＳ Ｐゴシック" w:hAnsi="Arial" w:cs="Arial"/>
          <w:color w:val="000000"/>
          <w:kern w:val="0"/>
          <w:sz w:val="22"/>
          <w:szCs w:val="22"/>
          <w14:ligatures w14:val="none"/>
        </w:rPr>
        <w:t xml:space="preserve"> </w:t>
      </w:r>
      <w:r w:rsidRPr="00764A7B">
        <w:rPr>
          <w:rFonts w:ascii="Arial" w:eastAsia="ＭＳ Ｐゴシック" w:hAnsi="Arial" w:cs="Arial"/>
          <w:color w:val="000000"/>
          <w:kern w:val="0"/>
          <w:sz w:val="22"/>
          <w:szCs w:val="22"/>
          <w14:ligatures w14:val="none"/>
        </w:rPr>
        <w:t>資料</w:t>
      </w:r>
      <w:r w:rsidRPr="00764A7B">
        <w:rPr>
          <w:rFonts w:ascii="Arial" w:eastAsia="ＭＳ Ｐゴシック" w:hAnsi="Arial" w:cs="Arial"/>
          <w:color w:val="000000"/>
          <w:kern w:val="0"/>
          <w:sz w:val="22"/>
          <w:szCs w:val="22"/>
          <w14:ligatures w14:val="none"/>
        </w:rPr>
        <w:t>1-4</w:t>
      </w:r>
      <w:r w:rsidRPr="00764A7B">
        <w:rPr>
          <w:rFonts w:ascii="Arial" w:eastAsia="ＭＳ Ｐゴシック" w:hAnsi="Arial" w:cs="Arial"/>
          <w:color w:val="000000"/>
          <w:kern w:val="0"/>
          <w:sz w:val="22"/>
          <w:szCs w:val="22"/>
          <w14:ligatures w14:val="none"/>
        </w:rPr>
        <w:t>）</w:t>
      </w:r>
      <w:r w:rsidRPr="00764A7B">
        <w:rPr>
          <w:rFonts w:ascii="Arial" w:eastAsia="ＭＳ Ｐゴシック" w:hAnsi="Arial" w:cs="Arial"/>
          <w:color w:val="000000"/>
          <w:kern w:val="0"/>
          <w:sz w:val="22"/>
          <w:szCs w:val="22"/>
          <w:vertAlign w:val="superscript"/>
          <w14:ligatures w14:val="none"/>
        </w:rPr>
        <w:t>(5)</w:t>
      </w:r>
      <w:r w:rsidRPr="00764A7B">
        <w:rPr>
          <w:rFonts w:ascii="Arial" w:eastAsia="ＭＳ Ｐゴシック" w:hAnsi="Arial" w:cs="Arial"/>
          <w:color w:val="000000"/>
          <w:kern w:val="0"/>
          <w:sz w:val="22"/>
          <w:szCs w:val="22"/>
          <w14:ligatures w14:val="none"/>
        </w:rPr>
        <w:t>。このように自己選択の幅を広げる取り組みが進む中、他者との協働を通じた自己調整の重要な実践例として、奈良女子大学附属小学校の自立的な学習が挙げられる（</w:t>
      </w:r>
      <w:r w:rsidRPr="00764A7B">
        <w:rPr>
          <w:rFonts w:ascii="Yu Mincho" w:eastAsia="Yu Mincho" w:hAnsi="Yu Mincho" w:cs="ＭＳ Ｐゴシック" w:hint="eastAsia"/>
          <w:color w:val="000000"/>
          <w:kern w:val="0"/>
          <w:szCs w:val="21"/>
          <w14:ligatures w14:val="none"/>
        </w:rPr>
        <w:t>29 令和6年度 研究開発実践報告書 第3年次 奈良女子大学附属小学校）</w:t>
      </w:r>
      <w:r w:rsidRPr="00764A7B">
        <w:rPr>
          <w:rFonts w:ascii="Yu Mincho" w:eastAsia="Yu Mincho" w:hAnsi="Yu Mincho" w:cs="ＭＳ Ｐゴシック" w:hint="eastAsia"/>
          <w:color w:val="000000"/>
          <w:kern w:val="0"/>
          <w:szCs w:val="21"/>
          <w:vertAlign w:val="superscript"/>
          <w14:ligatures w14:val="none"/>
        </w:rPr>
        <w:t>(6)</w:t>
      </w:r>
      <w:r w:rsidRPr="00764A7B">
        <w:rPr>
          <w:rFonts w:ascii="Arial" w:eastAsia="ＭＳ Ｐゴシック" w:hAnsi="Arial" w:cs="Arial"/>
          <w:color w:val="000000"/>
          <w:kern w:val="0"/>
          <w:sz w:val="22"/>
          <w:szCs w:val="22"/>
          <w14:ligatures w14:val="none"/>
        </w:rPr>
        <w:t>。同校の相互学習では、個々の考察に重点が置かれ、聞き手には自らの経験を駆使して他者の主張を受け止め、互いに突き詰め合うことを通して考察を磨く姿が求められている。この対等で親和的な相互依存関係を築く協同プロセスは、音楽科における係活動の有用性を強力に裏付けるものであり、児童の自己有用感や動機づけを高める基盤となる。</w:t>
      </w:r>
      <w:r w:rsidRPr="00764A7B">
        <w:rPr>
          <w:rFonts w:ascii="Arial" w:eastAsia="ＭＳ Ｐゴシック" w:hAnsi="Arial" w:cs="Arial"/>
          <w:color w:val="000000"/>
          <w:kern w:val="0"/>
          <w:sz w:val="22"/>
          <w:szCs w:val="22"/>
          <w14:ligatures w14:val="none"/>
        </w:rPr>
        <w:t> </w:t>
      </w:r>
    </w:p>
    <w:p w14:paraId="4B96B962"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さらに、この協同プロセスの中で情報を整理し、自らの学びを調整する具体的なフレームワークとして、シンガポールの算数教育で活用されている「数学的モデリング過程」の視点が応用できる</w:t>
      </w:r>
      <w:r w:rsidRPr="00764A7B">
        <w:rPr>
          <w:rFonts w:ascii="Arial" w:eastAsia="ＭＳ Ｐゴシック" w:hAnsi="Arial" w:cs="Arial"/>
          <w:color w:val="000000"/>
          <w:kern w:val="0"/>
          <w:sz w:val="22"/>
          <w:szCs w:val="22"/>
          <w:vertAlign w:val="superscript"/>
          <w14:ligatures w14:val="none"/>
        </w:rPr>
        <w:t>(7)</w:t>
      </w:r>
      <w:r w:rsidRPr="00764A7B">
        <w:rPr>
          <w:rFonts w:ascii="Arial" w:eastAsia="ＭＳ Ｐゴシック" w:hAnsi="Arial" w:cs="Arial"/>
          <w:color w:val="000000"/>
          <w:kern w:val="0"/>
          <w:sz w:val="22"/>
          <w:szCs w:val="22"/>
          <w14:ligatures w14:val="none"/>
        </w:rPr>
        <w:t>。この過程は、現実の複雑な課題に対し自ら前提条件を立てて「情報の可視化・構造化（定式化）」を行い、導き出した解を現実の文脈で「解釈」し、他者との対話や議論を通じてモデルを「反省・改善」する高度に自律的な学習構造である。本研究では、この「情報の可視化・構造化」の視点を音楽科に統合する。すなわち、楽曲という複雑な対象を漫然と捉えるのではなく、「音程」「リズム」「息継ぎ」「強弱」「歌詞」といった要素に細分化し、係ごとに構造的に理解させる工夫を取り入れる。</w:t>
      </w:r>
      <w:r w:rsidRPr="00764A7B">
        <w:rPr>
          <w:rFonts w:ascii="Arial" w:eastAsia="ＭＳ Ｐゴシック" w:hAnsi="Arial" w:cs="Arial"/>
          <w:color w:val="000000"/>
          <w:kern w:val="0"/>
          <w:sz w:val="22"/>
          <w:szCs w:val="22"/>
          <w14:ligatures w14:val="none"/>
        </w:rPr>
        <w:t xml:space="preserve">  </w:t>
      </w:r>
    </w:p>
    <w:p w14:paraId="7052C4CF"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本研究の目的は、小学校音楽科の授業において、メタ認知・動機づけ・学習方略の</w:t>
      </w:r>
      <w:r w:rsidRPr="00764A7B">
        <w:rPr>
          <w:rFonts w:ascii="Arial" w:eastAsia="ＭＳ Ｐゴシック" w:hAnsi="Arial" w:cs="Arial"/>
          <w:color w:val="000000"/>
          <w:kern w:val="0"/>
          <w:sz w:val="22"/>
          <w:szCs w:val="22"/>
          <w14:ligatures w14:val="none"/>
        </w:rPr>
        <w:t>3</w:t>
      </w:r>
      <w:r w:rsidRPr="00764A7B">
        <w:rPr>
          <w:rFonts w:ascii="Arial" w:eastAsia="ＭＳ Ｐゴシック" w:hAnsi="Arial" w:cs="Arial"/>
          <w:color w:val="000000"/>
          <w:kern w:val="0"/>
          <w:sz w:val="22"/>
          <w:szCs w:val="22"/>
          <w14:ligatures w14:val="none"/>
        </w:rPr>
        <w:t>要素の循環と、シンガポールの数学的モデリング過程（構造化の視点）、および奈良女子大附属小の相互学習の要素を統合した独自の「山田モデル（係活動を導入したジグソー法）」を提案し、その有効性を実証的に検討することである。具体的には、小学校</w:t>
      </w:r>
      <w:r w:rsidRPr="00764A7B">
        <w:rPr>
          <w:rFonts w:ascii="Arial" w:eastAsia="ＭＳ Ｐゴシック" w:hAnsi="Arial" w:cs="Arial"/>
          <w:color w:val="000000"/>
          <w:kern w:val="0"/>
          <w:sz w:val="22"/>
          <w:szCs w:val="22"/>
          <w14:ligatures w14:val="none"/>
        </w:rPr>
        <w:t>4</w:t>
      </w:r>
      <w:r w:rsidRPr="00764A7B">
        <w:rPr>
          <w:rFonts w:ascii="Arial" w:eastAsia="ＭＳ Ｐゴシック" w:hAnsi="Arial" w:cs="Arial"/>
          <w:color w:val="000000"/>
          <w:kern w:val="0"/>
          <w:sz w:val="22"/>
          <w:szCs w:val="22"/>
          <w14:ligatures w14:val="none"/>
        </w:rPr>
        <w:t>年生の音楽授業を対象に、楽曲の要素を</w:t>
      </w:r>
      <w:r w:rsidRPr="00764A7B">
        <w:rPr>
          <w:rFonts w:ascii="Arial" w:eastAsia="ＭＳ Ｐゴシック" w:hAnsi="Arial" w:cs="Arial"/>
          <w:color w:val="000000"/>
          <w:kern w:val="0"/>
          <w:sz w:val="22"/>
          <w:szCs w:val="22"/>
          <w14:ligatures w14:val="none"/>
        </w:rPr>
        <w:t>5</w:t>
      </w:r>
      <w:r w:rsidRPr="00764A7B">
        <w:rPr>
          <w:rFonts w:ascii="Arial" w:eastAsia="ＭＳ Ｐゴシック" w:hAnsi="Arial" w:cs="Arial"/>
          <w:color w:val="000000"/>
          <w:kern w:val="0"/>
          <w:sz w:val="22"/>
          <w:szCs w:val="22"/>
          <w14:ligatures w14:val="none"/>
        </w:rPr>
        <w:t>つの係に構造化して専門的に理解させ、ホームグループでの教え合い（解釈・改善）を通じて自己調整のサイクルを回すプログラムを実施する。本実践の前後に質問紙調査を行い、この指導モデルが児童の自己調整能力、とりわけ動機づけ調整方略と行動調整方略にどのような変容をもたらすかを明らかにする。</w:t>
      </w:r>
    </w:p>
    <w:p w14:paraId="32551BBB"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Yu Mincho" w:eastAsia="Yu Mincho" w:hAnsi="Yu Mincho" w:cs="ＭＳ Ｐゴシック" w:hint="eastAsia"/>
          <w:b/>
          <w:bCs/>
          <w:color w:val="000000"/>
          <w:kern w:val="0"/>
          <w:sz w:val="22"/>
          <w:szCs w:val="22"/>
          <w14:ligatures w14:val="none"/>
        </w:rPr>
        <w:t>2.研究方法</w:t>
      </w:r>
    </w:p>
    <w:p w14:paraId="0615A962"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Yu Mincho" w:eastAsia="Yu Mincho" w:hAnsi="Yu Mincho" w:cs="ＭＳ Ｐゴシック" w:hint="eastAsia"/>
          <w:b/>
          <w:bCs/>
          <w:color w:val="000000"/>
          <w:kern w:val="0"/>
          <w:sz w:val="22"/>
          <w:szCs w:val="22"/>
          <w14:ligatures w14:val="none"/>
        </w:rPr>
        <w:t>①調査方法・調査時期</w:t>
      </w:r>
    </w:p>
    <w:p w14:paraId="080FBCEB"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Yu Mincho" w:eastAsia="Yu Mincho" w:hAnsi="Yu Mincho" w:cs="ＭＳ Ｐゴシック" w:hint="eastAsia"/>
          <w:b/>
          <w:bCs/>
          <w:color w:val="000000"/>
          <w:kern w:val="0"/>
          <w:sz w:val="22"/>
          <w:szCs w:val="22"/>
          <w14:ligatures w14:val="none"/>
        </w:rPr>
        <w:lastRenderedPageBreak/>
        <w:t> </w:t>
      </w:r>
      <w:r w:rsidRPr="00764A7B">
        <w:rPr>
          <w:rFonts w:ascii="Yu Mincho" w:eastAsia="Yu Mincho" w:hAnsi="Yu Mincho" w:cs="ＭＳ Ｐゴシック" w:hint="eastAsia"/>
          <w:color w:val="000000"/>
          <w:kern w:val="0"/>
          <w:sz w:val="22"/>
          <w:szCs w:val="22"/>
          <w14:ligatures w14:val="none"/>
        </w:rPr>
        <w:t>研究の調査対象は、</w:t>
      </w:r>
      <w:r w:rsidRPr="00764A7B">
        <w:rPr>
          <w:rFonts w:ascii="Yu Mincho" w:eastAsia="Yu Mincho" w:hAnsi="Yu Mincho" w:cs="ＭＳ Ｐゴシック" w:hint="eastAsia"/>
          <w:b/>
          <w:bCs/>
          <w:color w:val="000000"/>
          <w:kern w:val="0"/>
          <w:sz w:val="22"/>
          <w:szCs w:val="22"/>
          <w14:ligatures w14:val="none"/>
        </w:rPr>
        <w:t> </w:t>
      </w:r>
      <w:r w:rsidRPr="00764A7B">
        <w:rPr>
          <w:rFonts w:ascii="Arial" w:eastAsia="ＭＳ Ｐゴシック" w:hAnsi="Arial" w:cs="Arial"/>
          <w:color w:val="000000"/>
          <w:kern w:val="0"/>
          <w:sz w:val="22"/>
          <w:szCs w:val="22"/>
          <w14:ligatures w14:val="none"/>
        </w:rPr>
        <w:t>A</w:t>
      </w:r>
      <w:r w:rsidRPr="00764A7B">
        <w:rPr>
          <w:rFonts w:ascii="Arial" w:eastAsia="ＭＳ Ｐゴシック" w:hAnsi="Arial" w:cs="Arial"/>
          <w:color w:val="000000"/>
          <w:kern w:val="0"/>
          <w:sz w:val="22"/>
          <w:szCs w:val="22"/>
          <w14:ligatures w14:val="none"/>
        </w:rPr>
        <w:t>小学校の</w:t>
      </w:r>
      <w:r w:rsidRPr="00764A7B">
        <w:rPr>
          <w:rFonts w:ascii="Arial" w:eastAsia="ＭＳ Ｐゴシック" w:hAnsi="Arial" w:cs="Arial"/>
          <w:color w:val="000000"/>
          <w:kern w:val="0"/>
          <w:sz w:val="22"/>
          <w:szCs w:val="22"/>
          <w14:ligatures w14:val="none"/>
        </w:rPr>
        <w:t>4</w:t>
      </w:r>
      <w:r w:rsidRPr="00764A7B">
        <w:rPr>
          <w:rFonts w:ascii="Arial" w:eastAsia="ＭＳ Ｐゴシック" w:hAnsi="Arial" w:cs="Arial"/>
          <w:color w:val="000000"/>
          <w:kern w:val="0"/>
          <w:sz w:val="22"/>
          <w:szCs w:val="22"/>
          <w14:ligatures w14:val="none"/>
        </w:rPr>
        <w:t>年生</w:t>
      </w:r>
      <w:r w:rsidRPr="00764A7B">
        <w:rPr>
          <w:rFonts w:ascii="Arial" w:eastAsia="ＭＳ Ｐゴシック" w:hAnsi="Arial" w:cs="Arial"/>
          <w:color w:val="000000"/>
          <w:kern w:val="0"/>
          <w:sz w:val="22"/>
          <w:szCs w:val="22"/>
          <w14:ligatures w14:val="none"/>
        </w:rPr>
        <w:t>2</w:t>
      </w:r>
      <w:r w:rsidRPr="00764A7B">
        <w:rPr>
          <w:rFonts w:ascii="Arial" w:eastAsia="ＭＳ Ｐゴシック" w:hAnsi="Arial" w:cs="Arial"/>
          <w:color w:val="000000"/>
          <w:kern w:val="0"/>
          <w:sz w:val="22"/>
          <w:szCs w:val="22"/>
          <w14:ligatures w14:val="none"/>
        </w:rPr>
        <w:t>学級に在籍する児童</w:t>
      </w:r>
      <w:r w:rsidRPr="00764A7B">
        <w:rPr>
          <w:rFonts w:ascii="Arial" w:eastAsia="ＭＳ Ｐゴシック" w:hAnsi="Arial" w:cs="Arial"/>
          <w:color w:val="000000"/>
          <w:kern w:val="0"/>
          <w:sz w:val="22"/>
          <w:szCs w:val="22"/>
          <w14:ligatures w14:val="none"/>
        </w:rPr>
        <w:t>63</w:t>
      </w:r>
      <w:r w:rsidRPr="00764A7B">
        <w:rPr>
          <w:rFonts w:ascii="Arial" w:eastAsia="ＭＳ Ｐゴシック" w:hAnsi="Arial" w:cs="Arial"/>
          <w:color w:val="000000"/>
          <w:kern w:val="0"/>
          <w:sz w:val="22"/>
          <w:szCs w:val="22"/>
          <w14:ligatures w14:val="none"/>
        </w:rPr>
        <w:t>名（クラス</w:t>
      </w:r>
      <w:r w:rsidRPr="00764A7B">
        <w:rPr>
          <w:rFonts w:ascii="Arial" w:eastAsia="ＭＳ Ｐゴシック" w:hAnsi="Arial" w:cs="Arial"/>
          <w:color w:val="000000"/>
          <w:kern w:val="0"/>
          <w:sz w:val="22"/>
          <w:szCs w:val="22"/>
          <w14:ligatures w14:val="none"/>
        </w:rPr>
        <w:t>A</w:t>
      </w:r>
      <w:r w:rsidRPr="00764A7B">
        <w:rPr>
          <w:rFonts w:ascii="Arial" w:eastAsia="ＭＳ Ｐゴシック" w:hAnsi="Arial" w:cs="Arial"/>
          <w:color w:val="000000"/>
          <w:kern w:val="0"/>
          <w:sz w:val="22"/>
          <w:szCs w:val="22"/>
          <w14:ligatures w14:val="none"/>
        </w:rPr>
        <w:t>：</w:t>
      </w:r>
      <w:r w:rsidRPr="00764A7B">
        <w:rPr>
          <w:rFonts w:ascii="Arial" w:eastAsia="ＭＳ Ｐゴシック" w:hAnsi="Arial" w:cs="Arial"/>
          <w:color w:val="000000"/>
          <w:kern w:val="0"/>
          <w:sz w:val="22"/>
          <w:szCs w:val="22"/>
          <w14:ligatures w14:val="none"/>
        </w:rPr>
        <w:t>33</w:t>
      </w:r>
      <w:r w:rsidRPr="00764A7B">
        <w:rPr>
          <w:rFonts w:ascii="Arial" w:eastAsia="ＭＳ Ｐゴシック" w:hAnsi="Arial" w:cs="Arial"/>
          <w:color w:val="000000"/>
          <w:kern w:val="0"/>
          <w:sz w:val="22"/>
          <w:szCs w:val="22"/>
          <w14:ligatures w14:val="none"/>
        </w:rPr>
        <w:t>名、クラス</w:t>
      </w:r>
      <w:r w:rsidRPr="00764A7B">
        <w:rPr>
          <w:rFonts w:ascii="Arial" w:eastAsia="ＭＳ Ｐゴシック" w:hAnsi="Arial" w:cs="Arial"/>
          <w:color w:val="000000"/>
          <w:kern w:val="0"/>
          <w:sz w:val="22"/>
          <w:szCs w:val="22"/>
          <w14:ligatures w14:val="none"/>
        </w:rPr>
        <w:t>B</w:t>
      </w:r>
      <w:r w:rsidRPr="00764A7B">
        <w:rPr>
          <w:rFonts w:ascii="Arial" w:eastAsia="ＭＳ Ｐゴシック" w:hAnsi="Arial" w:cs="Arial"/>
          <w:color w:val="000000"/>
          <w:kern w:val="0"/>
          <w:sz w:val="22"/>
          <w:szCs w:val="22"/>
          <w14:ligatures w14:val="none"/>
        </w:rPr>
        <w:t>：</w:t>
      </w:r>
      <w:r w:rsidRPr="00764A7B">
        <w:rPr>
          <w:rFonts w:ascii="Arial" w:eastAsia="ＭＳ Ｐゴシック" w:hAnsi="Arial" w:cs="Arial"/>
          <w:color w:val="000000"/>
          <w:kern w:val="0"/>
          <w:sz w:val="22"/>
          <w:szCs w:val="22"/>
          <w14:ligatures w14:val="none"/>
        </w:rPr>
        <w:t>30</w:t>
      </w:r>
      <w:r w:rsidRPr="00764A7B">
        <w:rPr>
          <w:rFonts w:ascii="Arial" w:eastAsia="ＭＳ Ｐゴシック" w:hAnsi="Arial" w:cs="Arial"/>
          <w:color w:val="000000"/>
          <w:kern w:val="0"/>
          <w:sz w:val="22"/>
          <w:szCs w:val="22"/>
          <w14:ligatures w14:val="none"/>
        </w:rPr>
        <w:t>名）である。対象となる</w:t>
      </w:r>
      <w:r w:rsidRPr="00764A7B">
        <w:rPr>
          <w:rFonts w:ascii="Arial" w:eastAsia="ＭＳ Ｐゴシック" w:hAnsi="Arial" w:cs="Arial"/>
          <w:color w:val="000000"/>
          <w:kern w:val="0"/>
          <w:sz w:val="22"/>
          <w:szCs w:val="22"/>
          <w14:ligatures w14:val="none"/>
        </w:rPr>
        <w:t>2</w:t>
      </w:r>
      <w:r w:rsidRPr="00764A7B">
        <w:rPr>
          <w:rFonts w:ascii="Arial" w:eastAsia="ＭＳ Ｐゴシック" w:hAnsi="Arial" w:cs="Arial"/>
          <w:color w:val="000000"/>
          <w:kern w:val="0"/>
          <w:sz w:val="22"/>
          <w:szCs w:val="22"/>
          <w14:ligatures w14:val="none"/>
        </w:rPr>
        <w:t>学級について、ベースラインとなる学力特性（高学力群と中学力群）を判別するため、事前に楽典知識（音階や音符の長さ、ブレス記号の意味など）を問う学力テストを実施した。なお、特別な支援を要する児童は分析対象から除外している。調査および実践の期間は、</w:t>
      </w:r>
      <w:r w:rsidRPr="00764A7B">
        <w:rPr>
          <w:rFonts w:ascii="Arial" w:eastAsia="ＭＳ Ｐゴシック" w:hAnsi="Arial" w:cs="Arial"/>
          <w:color w:val="000000"/>
          <w:kern w:val="0"/>
          <w:sz w:val="22"/>
          <w:szCs w:val="22"/>
          <w14:ligatures w14:val="none"/>
        </w:rPr>
        <w:t>2024</w:t>
      </w:r>
      <w:r w:rsidRPr="00764A7B">
        <w:rPr>
          <w:rFonts w:ascii="Arial" w:eastAsia="ＭＳ Ｐゴシック" w:hAnsi="Arial" w:cs="Arial"/>
          <w:color w:val="000000"/>
          <w:kern w:val="0"/>
          <w:sz w:val="22"/>
          <w:szCs w:val="22"/>
          <w14:ligatures w14:val="none"/>
        </w:rPr>
        <w:t>年</w:t>
      </w:r>
      <w:r w:rsidRPr="00764A7B">
        <w:rPr>
          <w:rFonts w:ascii="Arial" w:eastAsia="ＭＳ Ｐゴシック" w:hAnsi="Arial" w:cs="Arial"/>
          <w:color w:val="000000"/>
          <w:kern w:val="0"/>
          <w:sz w:val="22"/>
          <w:szCs w:val="22"/>
          <w14:ligatures w14:val="none"/>
        </w:rPr>
        <w:t>4</w:t>
      </w:r>
      <w:r w:rsidRPr="00764A7B">
        <w:rPr>
          <w:rFonts w:ascii="Arial" w:eastAsia="ＭＳ Ｐゴシック" w:hAnsi="Arial" w:cs="Arial"/>
          <w:color w:val="000000"/>
          <w:kern w:val="0"/>
          <w:sz w:val="22"/>
          <w:szCs w:val="22"/>
          <w14:ligatures w14:val="none"/>
        </w:rPr>
        <w:t>月から</w:t>
      </w:r>
      <w:r w:rsidRPr="00764A7B">
        <w:rPr>
          <w:rFonts w:ascii="Arial" w:eastAsia="ＭＳ Ｐゴシック" w:hAnsi="Arial" w:cs="Arial"/>
          <w:color w:val="000000"/>
          <w:kern w:val="0"/>
          <w:sz w:val="22"/>
          <w:szCs w:val="22"/>
          <w14:ligatures w14:val="none"/>
        </w:rPr>
        <w:t>2025</w:t>
      </w:r>
      <w:r w:rsidRPr="00764A7B">
        <w:rPr>
          <w:rFonts w:ascii="Arial" w:eastAsia="ＭＳ Ｐゴシック" w:hAnsi="Arial" w:cs="Arial"/>
          <w:color w:val="000000"/>
          <w:kern w:val="0"/>
          <w:sz w:val="22"/>
          <w:szCs w:val="22"/>
          <w14:ligatures w14:val="none"/>
        </w:rPr>
        <w:t>年</w:t>
      </w:r>
      <w:r w:rsidRPr="00764A7B">
        <w:rPr>
          <w:rFonts w:ascii="Arial" w:eastAsia="ＭＳ Ｐゴシック" w:hAnsi="Arial" w:cs="Arial"/>
          <w:color w:val="000000"/>
          <w:kern w:val="0"/>
          <w:sz w:val="22"/>
          <w:szCs w:val="22"/>
          <w14:ligatures w14:val="none"/>
        </w:rPr>
        <w:t>3</w:t>
      </w:r>
      <w:r w:rsidRPr="00764A7B">
        <w:rPr>
          <w:rFonts w:ascii="Arial" w:eastAsia="ＭＳ Ｐゴシック" w:hAnsi="Arial" w:cs="Arial"/>
          <w:color w:val="000000"/>
          <w:kern w:val="0"/>
          <w:sz w:val="22"/>
          <w:szCs w:val="22"/>
          <w14:ligatures w14:val="none"/>
        </w:rPr>
        <w:t>月までの</w:t>
      </w:r>
      <w:r w:rsidRPr="00764A7B">
        <w:rPr>
          <w:rFonts w:ascii="Arial" w:eastAsia="ＭＳ Ｐゴシック" w:hAnsi="Arial" w:cs="Arial"/>
          <w:color w:val="000000"/>
          <w:kern w:val="0"/>
          <w:sz w:val="22"/>
          <w:szCs w:val="22"/>
          <w14:ligatures w14:val="none"/>
        </w:rPr>
        <w:t>1</w:t>
      </w:r>
      <w:r w:rsidRPr="00764A7B">
        <w:rPr>
          <w:rFonts w:ascii="Arial" w:eastAsia="ＭＳ Ｐゴシック" w:hAnsi="Arial" w:cs="Arial"/>
          <w:color w:val="000000"/>
          <w:kern w:val="0"/>
          <w:sz w:val="22"/>
          <w:szCs w:val="22"/>
          <w14:ligatures w14:val="none"/>
        </w:rPr>
        <w:t>年間とした。</w:t>
      </w:r>
      <w:r w:rsidRPr="00764A7B">
        <w:rPr>
          <w:rFonts w:ascii="Century" w:eastAsia="ＭＳ Ｐゴシック" w:hAnsi="Century" w:cs="ＭＳ Ｐゴシック"/>
          <w:noProof/>
          <w:color w:val="000000"/>
          <w:kern w:val="0"/>
          <w:szCs w:val="21"/>
          <w:bdr w:val="single" w:sz="2" w:space="0" w:color="000000" w:frame="1"/>
          <w14:ligatures w14:val="none"/>
        </w:rPr>
        <w:drawing>
          <wp:inline distT="0" distB="0" distL="0" distR="0" wp14:anchorId="28043C7C" wp14:editId="45911918">
            <wp:extent cx="4064000" cy="1955800"/>
            <wp:effectExtent l="0" t="0" r="0" b="0"/>
            <wp:docPr id="1596318917"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64000" cy="1955800"/>
                    </a:xfrm>
                    <a:prstGeom prst="rect">
                      <a:avLst/>
                    </a:prstGeom>
                    <a:noFill/>
                    <a:ln>
                      <a:noFill/>
                    </a:ln>
                  </pic:spPr>
                </pic:pic>
              </a:graphicData>
            </a:graphic>
          </wp:inline>
        </w:drawing>
      </w:r>
    </w:p>
    <w:p w14:paraId="5ECF2C35"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Cambria Math" w:eastAsia="ＭＳ Ｐゴシック" w:hAnsi="Cambria Math" w:cs="Cambria Math"/>
          <w:b/>
          <w:bCs/>
          <w:color w:val="000000"/>
          <w:kern w:val="0"/>
          <w:sz w:val="22"/>
          <w:szCs w:val="22"/>
          <w14:ligatures w14:val="none"/>
        </w:rPr>
        <w:t>②</w:t>
      </w:r>
      <w:r w:rsidRPr="00764A7B">
        <w:rPr>
          <w:rFonts w:ascii="Arial" w:eastAsia="ＭＳ Ｐゴシック" w:hAnsi="Arial" w:cs="Arial"/>
          <w:b/>
          <w:bCs/>
          <w:color w:val="000000"/>
          <w:kern w:val="0"/>
          <w:sz w:val="22"/>
          <w:szCs w:val="22"/>
          <w14:ligatures w14:val="none"/>
        </w:rPr>
        <w:t>実践授業の概要</w:t>
      </w:r>
    </w:p>
    <w:p w14:paraId="4CDFC6DE"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音楽科の年間</w:t>
      </w:r>
      <w:r w:rsidRPr="00764A7B">
        <w:rPr>
          <w:rFonts w:ascii="Arial" w:eastAsia="ＭＳ Ｐゴシック" w:hAnsi="Arial" w:cs="Arial"/>
          <w:color w:val="000000"/>
          <w:kern w:val="0"/>
          <w:sz w:val="22"/>
          <w:szCs w:val="22"/>
          <w14:ligatures w14:val="none"/>
        </w:rPr>
        <w:t>70</w:t>
      </w:r>
      <w:r w:rsidRPr="00764A7B">
        <w:rPr>
          <w:rFonts w:ascii="Arial" w:eastAsia="ＭＳ Ｐゴシック" w:hAnsi="Arial" w:cs="Arial"/>
          <w:color w:val="000000"/>
          <w:kern w:val="0"/>
          <w:sz w:val="22"/>
          <w:szCs w:val="22"/>
          <w14:ligatures w14:val="none"/>
        </w:rPr>
        <w:t>コマの授業のうち、前半</w:t>
      </w:r>
      <w:r w:rsidRPr="00764A7B">
        <w:rPr>
          <w:rFonts w:ascii="Arial" w:eastAsia="ＭＳ Ｐゴシック" w:hAnsi="Arial" w:cs="Arial"/>
          <w:color w:val="000000"/>
          <w:kern w:val="0"/>
          <w:sz w:val="22"/>
          <w:szCs w:val="22"/>
          <w14:ligatures w14:val="none"/>
        </w:rPr>
        <w:t>10</w:t>
      </w:r>
      <w:r w:rsidRPr="00764A7B">
        <w:rPr>
          <w:rFonts w:ascii="Arial" w:eastAsia="ＭＳ Ｐゴシック" w:hAnsi="Arial" w:cs="Arial"/>
          <w:color w:val="000000"/>
          <w:kern w:val="0"/>
          <w:sz w:val="22"/>
          <w:szCs w:val="22"/>
          <w14:ligatures w14:val="none"/>
        </w:rPr>
        <w:t>コマを「基礎知識定着期」、後半</w:t>
      </w:r>
      <w:r w:rsidRPr="00764A7B">
        <w:rPr>
          <w:rFonts w:ascii="Arial" w:eastAsia="ＭＳ Ｐゴシック" w:hAnsi="Arial" w:cs="Arial"/>
          <w:color w:val="000000"/>
          <w:kern w:val="0"/>
          <w:sz w:val="22"/>
          <w:szCs w:val="22"/>
          <w14:ligatures w14:val="none"/>
        </w:rPr>
        <w:t>60</w:t>
      </w:r>
      <w:r w:rsidRPr="00764A7B">
        <w:rPr>
          <w:rFonts w:ascii="Arial" w:eastAsia="ＭＳ Ｐゴシック" w:hAnsi="Arial" w:cs="Arial"/>
          <w:color w:val="000000"/>
          <w:kern w:val="0"/>
          <w:sz w:val="22"/>
          <w:szCs w:val="22"/>
          <w14:ligatures w14:val="none"/>
        </w:rPr>
        <w:t>コマを「ジグソー法実践期」としてプログラムを設計した。基礎知識定着期では、音階やリズムなどの既習事項を復習し、係活動に必要な共通言語を整えた（</w:t>
      </w:r>
      <w:r w:rsidRPr="00764A7B">
        <w:rPr>
          <w:rFonts w:ascii="Arial" w:eastAsia="ＭＳ Ｐゴシック" w:hAnsi="Arial" w:cs="Arial"/>
          <w:color w:val="000000"/>
          <w:kern w:val="0"/>
          <w:sz w:val="22"/>
          <w:szCs w:val="22"/>
          <w14:ligatures w14:val="none"/>
        </w:rPr>
        <w:t>Table 1</w:t>
      </w:r>
      <w:r w:rsidRPr="00764A7B">
        <w:rPr>
          <w:rFonts w:ascii="Arial" w:eastAsia="ＭＳ Ｐゴシック" w:hAnsi="Arial" w:cs="Arial"/>
          <w:color w:val="000000"/>
          <w:kern w:val="0"/>
          <w:sz w:val="22"/>
          <w:szCs w:val="22"/>
          <w14:ligatures w14:val="none"/>
        </w:rPr>
        <w:t>）。</w:t>
      </w:r>
    </w:p>
    <w:p w14:paraId="3FDD15C7"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後半のジグソー法実践期（</w:t>
      </w:r>
      <w:r w:rsidRPr="00764A7B">
        <w:rPr>
          <w:rFonts w:ascii="Arial" w:eastAsia="ＭＳ Ｐゴシック" w:hAnsi="Arial" w:cs="Arial"/>
          <w:color w:val="000000"/>
          <w:kern w:val="0"/>
          <w:sz w:val="22"/>
          <w:szCs w:val="22"/>
          <w14:ligatures w14:val="none"/>
        </w:rPr>
        <w:t>3</w:t>
      </w:r>
      <w:r w:rsidRPr="00764A7B">
        <w:rPr>
          <w:rFonts w:ascii="Arial" w:eastAsia="ＭＳ Ｐゴシック" w:hAnsi="Arial" w:cs="Arial"/>
          <w:color w:val="000000"/>
          <w:kern w:val="0"/>
          <w:sz w:val="22"/>
          <w:szCs w:val="22"/>
          <w14:ligatures w14:val="none"/>
        </w:rPr>
        <w:t>コマ</w:t>
      </w:r>
      <w:r w:rsidRPr="00764A7B">
        <w:rPr>
          <w:rFonts w:ascii="Arial" w:eastAsia="ＭＳ Ｐゴシック" w:hAnsi="Arial" w:cs="Arial"/>
          <w:color w:val="000000"/>
          <w:kern w:val="0"/>
          <w:sz w:val="22"/>
          <w:szCs w:val="22"/>
          <w14:ligatures w14:val="none"/>
        </w:rPr>
        <w:t>×20</w:t>
      </w:r>
      <w:r w:rsidRPr="00764A7B">
        <w:rPr>
          <w:rFonts w:ascii="Arial" w:eastAsia="ＭＳ Ｐゴシック" w:hAnsi="Arial" w:cs="Arial"/>
          <w:color w:val="000000"/>
          <w:kern w:val="0"/>
          <w:sz w:val="22"/>
          <w:szCs w:val="22"/>
          <w14:ligatures w14:val="none"/>
        </w:rPr>
        <w:t>サイクル）では、児童を「ドレミ係」「リズム係」「息継ぎ繰り返し係」「強弱係」「歌詞係」の</w:t>
      </w:r>
      <w:r w:rsidRPr="00764A7B">
        <w:rPr>
          <w:rFonts w:ascii="Arial" w:eastAsia="ＭＳ Ｐゴシック" w:hAnsi="Arial" w:cs="Arial"/>
          <w:color w:val="000000"/>
          <w:kern w:val="0"/>
          <w:sz w:val="22"/>
          <w:szCs w:val="22"/>
          <w14:ligatures w14:val="none"/>
        </w:rPr>
        <w:t>5</w:t>
      </w:r>
      <w:r w:rsidRPr="00764A7B">
        <w:rPr>
          <w:rFonts w:ascii="Arial" w:eastAsia="ＭＳ Ｐゴシック" w:hAnsi="Arial" w:cs="Arial"/>
          <w:color w:val="000000"/>
          <w:kern w:val="0"/>
          <w:sz w:val="22"/>
          <w:szCs w:val="22"/>
          <w14:ligatures w14:val="none"/>
        </w:rPr>
        <w:t>つの役割に配置し、それぞれの専門性を高める活動を行った（</w:t>
      </w:r>
      <w:r w:rsidRPr="00764A7B">
        <w:rPr>
          <w:rFonts w:ascii="Arial" w:eastAsia="ＭＳ Ｐゴシック" w:hAnsi="Arial" w:cs="Arial"/>
          <w:color w:val="000000"/>
          <w:kern w:val="0"/>
          <w:sz w:val="22"/>
          <w:szCs w:val="22"/>
          <w14:ligatures w14:val="none"/>
        </w:rPr>
        <w:t>Table 2</w:t>
      </w:r>
      <w:r w:rsidRPr="00764A7B">
        <w:rPr>
          <w:rFonts w:ascii="Arial" w:eastAsia="ＭＳ Ｐゴシック" w:hAnsi="Arial" w:cs="Arial"/>
          <w:color w:val="000000"/>
          <w:kern w:val="0"/>
          <w:sz w:val="22"/>
          <w:szCs w:val="22"/>
          <w14:ligatures w14:val="none"/>
        </w:rPr>
        <w:t>）。各係のメンバーは、出席番号とプログラム（</w:t>
      </w:r>
      <w:r w:rsidRPr="00764A7B">
        <w:rPr>
          <w:rFonts w:ascii="Arial" w:eastAsia="ＭＳ Ｐゴシック" w:hAnsi="Arial" w:cs="Arial"/>
          <w:color w:val="000000"/>
          <w:kern w:val="0"/>
          <w:sz w:val="22"/>
          <w:szCs w:val="22"/>
          <w14:ligatures w14:val="none"/>
        </w:rPr>
        <w:t>Python</w:t>
      </w:r>
      <w:r w:rsidRPr="00764A7B">
        <w:rPr>
          <w:rFonts w:ascii="Arial" w:eastAsia="ＭＳ Ｐゴシック" w:hAnsi="Arial" w:cs="Arial"/>
          <w:color w:val="000000"/>
          <w:kern w:val="0"/>
          <w:sz w:val="22"/>
          <w:szCs w:val="22"/>
          <w14:ligatures w14:val="none"/>
        </w:rPr>
        <w:t>）を用いて、男女比が均等になるよう毎週ランダムにローテーションを行った。</w:t>
      </w:r>
    </w:p>
    <w:p w14:paraId="1F99590C"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授業の展開は、各係に分かれて専門課題に取り組む「エキスパート活動」、元の班に戻って学習内容を共有する「ジグソー活動」、および全体のズレを修正し合唱へと統合する「クロストーク・全員歌唱・再考」の</w:t>
      </w:r>
      <w:r w:rsidRPr="00764A7B">
        <w:rPr>
          <w:rFonts w:ascii="Arial" w:eastAsia="ＭＳ Ｐゴシック" w:hAnsi="Arial" w:cs="Arial"/>
          <w:color w:val="000000"/>
          <w:kern w:val="0"/>
          <w:sz w:val="22"/>
          <w:szCs w:val="22"/>
          <w14:ligatures w14:val="none"/>
        </w:rPr>
        <w:t>3</w:t>
      </w:r>
      <w:r w:rsidRPr="00764A7B">
        <w:rPr>
          <w:rFonts w:ascii="Arial" w:eastAsia="ＭＳ Ｐゴシック" w:hAnsi="Arial" w:cs="Arial"/>
          <w:color w:val="000000"/>
          <w:kern w:val="0"/>
          <w:sz w:val="22"/>
          <w:szCs w:val="22"/>
          <w14:ligatures w14:val="none"/>
        </w:rPr>
        <w:t>時間で</w:t>
      </w:r>
      <w:r w:rsidRPr="00764A7B">
        <w:rPr>
          <w:rFonts w:ascii="Arial" w:eastAsia="ＭＳ Ｐゴシック" w:hAnsi="Arial" w:cs="Arial"/>
          <w:color w:val="000000"/>
          <w:kern w:val="0"/>
          <w:sz w:val="22"/>
          <w:szCs w:val="22"/>
          <w14:ligatures w14:val="none"/>
        </w:rPr>
        <w:t>1</w:t>
      </w:r>
      <w:r w:rsidRPr="00764A7B">
        <w:rPr>
          <w:rFonts w:ascii="Arial" w:eastAsia="ＭＳ Ｐゴシック" w:hAnsi="Arial" w:cs="Arial"/>
          <w:color w:val="000000"/>
          <w:kern w:val="0"/>
          <w:sz w:val="22"/>
          <w:szCs w:val="22"/>
          <w14:ligatures w14:val="none"/>
        </w:rPr>
        <w:t>サイクルを構成した（</w:t>
      </w:r>
      <w:r w:rsidRPr="00764A7B">
        <w:rPr>
          <w:rFonts w:ascii="Arial" w:eastAsia="ＭＳ Ｐゴシック" w:hAnsi="Arial" w:cs="Arial"/>
          <w:color w:val="000000"/>
          <w:kern w:val="0"/>
          <w:sz w:val="22"/>
          <w:szCs w:val="22"/>
          <w14:ligatures w14:val="none"/>
        </w:rPr>
        <w:t>Table 3</w:t>
      </w:r>
      <w:r w:rsidRPr="00764A7B">
        <w:rPr>
          <w:rFonts w:ascii="Arial" w:eastAsia="ＭＳ Ｐゴシック" w:hAnsi="Arial" w:cs="Arial"/>
          <w:color w:val="000000"/>
          <w:kern w:val="0"/>
          <w:sz w:val="22"/>
          <w:szCs w:val="22"/>
          <w14:ligatures w14:val="none"/>
        </w:rPr>
        <w:t>）。</w:t>
      </w:r>
    </w:p>
    <w:p w14:paraId="58F9EE76"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Cambria Math" w:eastAsia="ＭＳ Ｐゴシック" w:hAnsi="Cambria Math" w:cs="Cambria Math"/>
          <w:b/>
          <w:bCs/>
          <w:color w:val="000000"/>
          <w:kern w:val="0"/>
          <w:sz w:val="22"/>
          <w:szCs w:val="22"/>
          <w14:ligatures w14:val="none"/>
        </w:rPr>
        <w:lastRenderedPageBreak/>
        <w:t>③</w:t>
      </w:r>
      <w:r w:rsidRPr="00764A7B">
        <w:rPr>
          <w:rFonts w:ascii="Arial" w:eastAsia="ＭＳ Ｐゴシック" w:hAnsi="Arial" w:cs="Arial"/>
          <w:b/>
          <w:bCs/>
          <w:color w:val="000000"/>
          <w:kern w:val="0"/>
          <w:sz w:val="22"/>
          <w:szCs w:val="22"/>
          <w14:ligatures w14:val="none"/>
        </w:rPr>
        <w:t>調査項目および評価方法</w:t>
      </w:r>
      <w:r w:rsidRPr="00764A7B">
        <w:rPr>
          <w:rFonts w:ascii="Century" w:eastAsia="ＭＳ Ｐゴシック" w:hAnsi="Century" w:cs="ＭＳ Ｐゴシック"/>
          <w:noProof/>
          <w:color w:val="000000"/>
          <w:kern w:val="0"/>
          <w:szCs w:val="21"/>
          <w:bdr w:val="single" w:sz="2" w:space="0" w:color="000000" w:frame="1"/>
          <w14:ligatures w14:val="none"/>
        </w:rPr>
        <w:drawing>
          <wp:inline distT="0" distB="0" distL="0" distR="0" wp14:anchorId="6A7C8276" wp14:editId="45A5D36A">
            <wp:extent cx="4064000" cy="1320800"/>
            <wp:effectExtent l="0" t="0" r="0" b="0"/>
            <wp:docPr id="1464024679"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64000" cy="1320800"/>
                    </a:xfrm>
                    <a:prstGeom prst="rect">
                      <a:avLst/>
                    </a:prstGeom>
                    <a:noFill/>
                    <a:ln>
                      <a:noFill/>
                    </a:ln>
                  </pic:spPr>
                </pic:pic>
              </a:graphicData>
            </a:graphic>
          </wp:inline>
        </w:drawing>
      </w:r>
      <w:r w:rsidRPr="00764A7B">
        <w:rPr>
          <w:rFonts w:ascii="Century" w:eastAsia="ＭＳ Ｐゴシック" w:hAnsi="Century" w:cs="ＭＳ Ｐゴシック"/>
          <w:noProof/>
          <w:color w:val="000000"/>
          <w:kern w:val="0"/>
          <w:szCs w:val="21"/>
          <w:bdr w:val="single" w:sz="2" w:space="0" w:color="000000" w:frame="1"/>
          <w14:ligatures w14:val="none"/>
        </w:rPr>
        <w:drawing>
          <wp:inline distT="0" distB="0" distL="0" distR="0" wp14:anchorId="05AC6E97" wp14:editId="431B4B9B">
            <wp:extent cx="4064000" cy="1219200"/>
            <wp:effectExtent l="0" t="0" r="0" b="0"/>
            <wp:docPr id="890875604"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64000" cy="1219200"/>
                    </a:xfrm>
                    <a:prstGeom prst="rect">
                      <a:avLst/>
                    </a:prstGeom>
                    <a:noFill/>
                    <a:ln>
                      <a:noFill/>
                    </a:ln>
                  </pic:spPr>
                </pic:pic>
              </a:graphicData>
            </a:graphic>
          </wp:inline>
        </w:drawing>
      </w:r>
    </w:p>
    <w:p w14:paraId="073DFB30"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自己調整能力の変容を測定するため、全</w:t>
      </w:r>
      <w:r w:rsidRPr="00764A7B">
        <w:rPr>
          <w:rFonts w:ascii="Arial" w:eastAsia="ＭＳ Ｐゴシック" w:hAnsi="Arial" w:cs="Arial"/>
          <w:color w:val="000000"/>
          <w:kern w:val="0"/>
          <w:sz w:val="22"/>
          <w:szCs w:val="22"/>
          <w14:ligatures w14:val="none"/>
        </w:rPr>
        <w:t>7</w:t>
      </w:r>
      <w:r w:rsidRPr="00764A7B">
        <w:rPr>
          <w:rFonts w:ascii="Arial" w:eastAsia="ＭＳ Ｐゴシック" w:hAnsi="Arial" w:cs="Arial"/>
          <w:color w:val="000000"/>
          <w:kern w:val="0"/>
          <w:sz w:val="22"/>
          <w:szCs w:val="22"/>
          <w14:ligatures w14:val="none"/>
        </w:rPr>
        <w:t>項目からなる質問紙を作成した（</w:t>
      </w:r>
      <w:r w:rsidRPr="00764A7B">
        <w:rPr>
          <w:rFonts w:ascii="Arial" w:eastAsia="ＭＳ Ｐゴシック" w:hAnsi="Arial" w:cs="Arial"/>
          <w:color w:val="000000"/>
          <w:kern w:val="0"/>
          <w:sz w:val="22"/>
          <w:szCs w:val="22"/>
          <w14:ligatures w14:val="none"/>
        </w:rPr>
        <w:t>Table 4</w:t>
      </w:r>
      <w:r w:rsidRPr="00764A7B">
        <w:rPr>
          <w:rFonts w:ascii="Arial" w:eastAsia="ＭＳ Ｐゴシック" w:hAnsi="Arial" w:cs="Arial"/>
          <w:color w:val="000000"/>
          <w:kern w:val="0"/>
          <w:sz w:val="22"/>
          <w:szCs w:val="22"/>
          <w14:ligatures w14:val="none"/>
        </w:rPr>
        <w:t>）。各項目について、原則として「まったくそう思わない（あるいは、まったくしていない等）」から「とてもそう思う（あるいは、とてもしている等）」までの</w:t>
      </w:r>
      <w:r w:rsidRPr="00764A7B">
        <w:rPr>
          <w:rFonts w:ascii="Arial" w:eastAsia="ＭＳ Ｐゴシック" w:hAnsi="Arial" w:cs="Arial"/>
          <w:color w:val="000000"/>
          <w:kern w:val="0"/>
          <w:sz w:val="22"/>
          <w:szCs w:val="22"/>
          <w14:ligatures w14:val="none"/>
        </w:rPr>
        <w:t>5</w:t>
      </w:r>
      <w:r w:rsidRPr="00764A7B">
        <w:rPr>
          <w:rFonts w:ascii="Arial" w:eastAsia="ＭＳ Ｐゴシック" w:hAnsi="Arial" w:cs="Arial"/>
          <w:color w:val="000000"/>
          <w:kern w:val="0"/>
          <w:sz w:val="22"/>
          <w:szCs w:val="22"/>
          <w14:ligatures w14:val="none"/>
        </w:rPr>
        <w:t>段階評定を用いて点数化（</w:t>
      </w:r>
      <w:r w:rsidRPr="00764A7B">
        <w:rPr>
          <w:rFonts w:ascii="Arial" w:eastAsia="ＭＳ Ｐゴシック" w:hAnsi="Arial" w:cs="Arial"/>
          <w:color w:val="000000"/>
          <w:kern w:val="0"/>
          <w:sz w:val="22"/>
          <w:szCs w:val="22"/>
          <w14:ligatures w14:val="none"/>
        </w:rPr>
        <w:t>1</w:t>
      </w:r>
      <w:r w:rsidRPr="00764A7B">
        <w:rPr>
          <w:rFonts w:ascii="Arial" w:eastAsia="ＭＳ Ｐゴシック" w:hAnsi="Arial" w:cs="Arial"/>
          <w:color w:val="000000"/>
          <w:kern w:val="0"/>
          <w:sz w:val="22"/>
          <w:szCs w:val="22"/>
          <w14:ligatures w14:val="none"/>
        </w:rPr>
        <w:t>〜</w:t>
      </w:r>
      <w:r w:rsidRPr="00764A7B">
        <w:rPr>
          <w:rFonts w:ascii="Arial" w:eastAsia="ＭＳ Ｐゴシック" w:hAnsi="Arial" w:cs="Arial"/>
          <w:color w:val="000000"/>
          <w:kern w:val="0"/>
          <w:sz w:val="22"/>
          <w:szCs w:val="22"/>
          <w14:ligatures w14:val="none"/>
        </w:rPr>
        <w:t>5</w:t>
      </w:r>
      <w:r w:rsidRPr="00764A7B">
        <w:rPr>
          <w:rFonts w:ascii="Arial" w:eastAsia="ＭＳ Ｐゴシック" w:hAnsi="Arial" w:cs="Arial"/>
          <w:color w:val="000000"/>
          <w:kern w:val="0"/>
          <w:sz w:val="22"/>
          <w:szCs w:val="22"/>
          <w14:ligatures w14:val="none"/>
        </w:rPr>
        <w:t>点）した。</w:t>
      </w:r>
    </w:p>
    <w:p w14:paraId="6FDA1D80"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調査は、プログラム導入前の</w:t>
      </w:r>
      <w:r w:rsidRPr="00764A7B">
        <w:rPr>
          <w:rFonts w:ascii="Arial" w:eastAsia="ＭＳ Ｐゴシック" w:hAnsi="Arial" w:cs="Arial"/>
          <w:color w:val="000000"/>
          <w:kern w:val="0"/>
          <w:sz w:val="22"/>
          <w:szCs w:val="22"/>
          <w14:ligatures w14:val="none"/>
        </w:rPr>
        <w:t>2024</w:t>
      </w:r>
      <w:r w:rsidRPr="00764A7B">
        <w:rPr>
          <w:rFonts w:ascii="Arial" w:eastAsia="ＭＳ Ｐゴシック" w:hAnsi="Arial" w:cs="Arial"/>
          <w:color w:val="000000"/>
          <w:kern w:val="0"/>
          <w:sz w:val="22"/>
          <w:szCs w:val="22"/>
          <w14:ligatures w14:val="none"/>
        </w:rPr>
        <w:t>年</w:t>
      </w:r>
      <w:r w:rsidRPr="00764A7B">
        <w:rPr>
          <w:rFonts w:ascii="Arial" w:eastAsia="ＭＳ Ｐゴシック" w:hAnsi="Arial" w:cs="Arial"/>
          <w:color w:val="000000"/>
          <w:kern w:val="0"/>
          <w:sz w:val="22"/>
          <w:szCs w:val="22"/>
          <w14:ligatures w14:val="none"/>
        </w:rPr>
        <w:t>4</w:t>
      </w:r>
      <w:r w:rsidRPr="00764A7B">
        <w:rPr>
          <w:rFonts w:ascii="Arial" w:eastAsia="ＭＳ Ｐゴシック" w:hAnsi="Arial" w:cs="Arial"/>
          <w:color w:val="000000"/>
          <w:kern w:val="0"/>
          <w:sz w:val="22"/>
          <w:szCs w:val="22"/>
          <w14:ligatures w14:val="none"/>
        </w:rPr>
        <w:t>月（プレ調査）および年間指導終了後の</w:t>
      </w:r>
      <w:r w:rsidRPr="00764A7B">
        <w:rPr>
          <w:rFonts w:ascii="Arial" w:eastAsia="ＭＳ Ｐゴシック" w:hAnsi="Arial" w:cs="Arial"/>
          <w:color w:val="000000"/>
          <w:kern w:val="0"/>
          <w:sz w:val="22"/>
          <w:szCs w:val="22"/>
          <w14:ligatures w14:val="none"/>
        </w:rPr>
        <w:t>2025</w:t>
      </w:r>
      <w:r w:rsidRPr="00764A7B">
        <w:rPr>
          <w:rFonts w:ascii="Arial" w:eastAsia="ＭＳ Ｐゴシック" w:hAnsi="Arial" w:cs="Arial"/>
          <w:color w:val="000000"/>
          <w:kern w:val="0"/>
          <w:sz w:val="22"/>
          <w:szCs w:val="22"/>
          <w14:ligatures w14:val="none"/>
        </w:rPr>
        <w:t>年</w:t>
      </w:r>
      <w:r w:rsidRPr="00764A7B">
        <w:rPr>
          <w:rFonts w:ascii="Arial" w:eastAsia="ＭＳ Ｐゴシック" w:hAnsi="Arial" w:cs="Arial"/>
          <w:color w:val="000000"/>
          <w:kern w:val="0"/>
          <w:sz w:val="22"/>
          <w:szCs w:val="22"/>
          <w14:ligatures w14:val="none"/>
        </w:rPr>
        <w:t>3</w:t>
      </w:r>
      <w:r w:rsidRPr="00764A7B">
        <w:rPr>
          <w:rFonts w:ascii="Arial" w:eastAsia="ＭＳ Ｐゴシック" w:hAnsi="Arial" w:cs="Arial"/>
          <w:color w:val="000000"/>
          <w:kern w:val="0"/>
          <w:sz w:val="22"/>
          <w:szCs w:val="22"/>
          <w14:ligatures w14:val="none"/>
        </w:rPr>
        <w:t>月（ポスト調査）の</w:t>
      </w:r>
      <w:r w:rsidRPr="00764A7B">
        <w:rPr>
          <w:rFonts w:ascii="Arial" w:eastAsia="ＭＳ Ｐゴシック" w:hAnsi="Arial" w:cs="Arial"/>
          <w:color w:val="000000"/>
          <w:kern w:val="0"/>
          <w:sz w:val="22"/>
          <w:szCs w:val="22"/>
          <w14:ligatures w14:val="none"/>
        </w:rPr>
        <w:t>2</w:t>
      </w:r>
      <w:r w:rsidRPr="00764A7B">
        <w:rPr>
          <w:rFonts w:ascii="Arial" w:eastAsia="ＭＳ Ｐゴシック" w:hAnsi="Arial" w:cs="Arial"/>
          <w:color w:val="000000"/>
          <w:kern w:val="0"/>
          <w:sz w:val="22"/>
          <w:szCs w:val="22"/>
          <w14:ligatures w14:val="none"/>
        </w:rPr>
        <w:t>時点で実施し、全員分のデータを回収した。収集したデータについて、プレ調査とポスト調査の合計得点（</w:t>
      </w:r>
      <w:r w:rsidRPr="00764A7B">
        <w:rPr>
          <w:rFonts w:ascii="Arial" w:eastAsia="ＭＳ Ｐゴシック" w:hAnsi="Arial" w:cs="Arial"/>
          <w:color w:val="000000"/>
          <w:kern w:val="0"/>
          <w:sz w:val="22"/>
          <w:szCs w:val="22"/>
          <w14:ligatures w14:val="none"/>
        </w:rPr>
        <w:t>35</w:t>
      </w:r>
      <w:r w:rsidRPr="00764A7B">
        <w:rPr>
          <w:rFonts w:ascii="Arial" w:eastAsia="ＭＳ Ｐゴシック" w:hAnsi="Arial" w:cs="Arial"/>
          <w:color w:val="000000"/>
          <w:kern w:val="0"/>
          <w:sz w:val="22"/>
          <w:szCs w:val="22"/>
          <w14:ligatures w14:val="none"/>
        </w:rPr>
        <w:t>点満点）および各項目の得点差を比較するため、対応のある</w:t>
      </w:r>
      <w:r w:rsidRPr="00764A7B">
        <w:rPr>
          <w:rFonts w:ascii="Arial" w:eastAsia="ＭＳ Ｐゴシック" w:hAnsi="Arial" w:cs="Arial"/>
          <w:color w:val="000000"/>
          <w:kern w:val="0"/>
          <w:sz w:val="22"/>
          <w:szCs w:val="22"/>
          <w14:ligatures w14:val="none"/>
        </w:rPr>
        <w:t>t</w:t>
      </w:r>
      <w:r w:rsidRPr="00764A7B">
        <w:rPr>
          <w:rFonts w:ascii="Arial" w:eastAsia="ＭＳ Ｐゴシック" w:hAnsi="Arial" w:cs="Arial"/>
          <w:color w:val="000000"/>
          <w:kern w:val="0"/>
          <w:sz w:val="22"/>
          <w:szCs w:val="22"/>
          <w14:ligatures w14:val="none"/>
        </w:rPr>
        <w:t>検定を実施し、実践の有効性を評価した。</w:t>
      </w:r>
      <w:r w:rsidRPr="00764A7B">
        <w:rPr>
          <w:rFonts w:ascii="Century" w:eastAsia="ＭＳ Ｐゴシック" w:hAnsi="Century" w:cs="ＭＳ Ｐゴシック"/>
          <w:noProof/>
          <w:color w:val="000000"/>
          <w:kern w:val="0"/>
          <w:szCs w:val="21"/>
          <w:bdr w:val="single" w:sz="2" w:space="0" w:color="000000" w:frame="1"/>
          <w14:ligatures w14:val="none"/>
        </w:rPr>
        <w:drawing>
          <wp:inline distT="0" distB="0" distL="0" distR="0" wp14:anchorId="09304E5B" wp14:editId="1D3AB2C1">
            <wp:extent cx="4064000" cy="1612900"/>
            <wp:effectExtent l="0" t="0" r="0" b="0"/>
            <wp:docPr id="149001884"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64000" cy="1612900"/>
                    </a:xfrm>
                    <a:prstGeom prst="rect">
                      <a:avLst/>
                    </a:prstGeom>
                    <a:noFill/>
                    <a:ln>
                      <a:noFill/>
                    </a:ln>
                  </pic:spPr>
                </pic:pic>
              </a:graphicData>
            </a:graphic>
          </wp:inline>
        </w:drawing>
      </w:r>
    </w:p>
    <w:p w14:paraId="1DAAB921"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Yu Mincho" w:eastAsia="Yu Mincho" w:hAnsi="Yu Mincho" w:cs="ＭＳ Ｐゴシック" w:hint="eastAsia"/>
          <w:color w:val="000000"/>
          <w:kern w:val="0"/>
          <w:sz w:val="22"/>
          <w:szCs w:val="22"/>
          <w14:ligatures w14:val="none"/>
        </w:rPr>
        <w:t>④</w:t>
      </w:r>
      <w:r w:rsidRPr="00764A7B">
        <w:rPr>
          <w:rFonts w:ascii="Arial" w:eastAsia="ＭＳ Ｐゴシック" w:hAnsi="Arial" w:cs="Arial"/>
          <w:b/>
          <w:bCs/>
          <w:color w:val="000000"/>
          <w:kern w:val="0"/>
          <w:sz w:val="22"/>
          <w:szCs w:val="22"/>
          <w14:ligatures w14:val="none"/>
        </w:rPr>
        <w:t>倫理的配慮</w:t>
      </w:r>
    </w:p>
    <w:p w14:paraId="398CE39B"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本研究の実施にあたり、対象児童のデータの匿名性が保持される旨を事前に説明した。また、学校の責任者である教頭より同意書への署名による承諾を得た。</w:t>
      </w:r>
    </w:p>
    <w:p w14:paraId="6D04891F"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Yu Mincho" w:eastAsia="Yu Mincho" w:hAnsi="Yu Mincho" w:cs="ＭＳ Ｐゴシック" w:hint="eastAsia"/>
          <w:b/>
          <w:bCs/>
          <w:color w:val="000000"/>
          <w:kern w:val="0"/>
          <w:sz w:val="22"/>
          <w:szCs w:val="22"/>
          <w14:ligatures w14:val="none"/>
        </w:rPr>
        <w:t>3.結果</w:t>
      </w:r>
    </w:p>
    <w:p w14:paraId="620D65F7"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Yu Mincho" w:eastAsia="Yu Mincho" w:hAnsi="Yu Mincho" w:cs="ＭＳ Ｐゴシック" w:hint="eastAsia"/>
          <w:b/>
          <w:bCs/>
          <w:color w:val="000000"/>
          <w:kern w:val="0"/>
          <w:sz w:val="22"/>
          <w:szCs w:val="22"/>
          <w14:ligatures w14:val="none"/>
        </w:rPr>
        <w:t>①ベースラインとなる学力特性</w:t>
      </w:r>
    </w:p>
    <w:p w14:paraId="370DB0BD"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本研究の分析対象である児童</w:t>
      </w:r>
      <w:r w:rsidRPr="00764A7B">
        <w:rPr>
          <w:rFonts w:ascii="Arial" w:eastAsia="ＭＳ Ｐゴシック" w:hAnsi="Arial" w:cs="Arial"/>
          <w:color w:val="000000"/>
          <w:kern w:val="0"/>
          <w:sz w:val="22"/>
          <w:szCs w:val="22"/>
          <w14:ligatures w14:val="none"/>
        </w:rPr>
        <w:t>63</w:t>
      </w:r>
      <w:r w:rsidRPr="00764A7B">
        <w:rPr>
          <w:rFonts w:ascii="Arial" w:eastAsia="ＭＳ Ｐゴシック" w:hAnsi="Arial" w:cs="Arial"/>
          <w:color w:val="000000"/>
          <w:kern w:val="0"/>
          <w:sz w:val="22"/>
          <w:szCs w:val="22"/>
          <w14:ligatures w14:val="none"/>
        </w:rPr>
        <w:t>名のベースライン特性を把握するため、事前の学力テスト（楽典知識）の結果をクラスごとに算出し、</w:t>
      </w:r>
      <w:r w:rsidRPr="00764A7B">
        <w:rPr>
          <w:rFonts w:ascii="Arial" w:eastAsia="ＭＳ Ｐゴシック" w:hAnsi="Arial" w:cs="Arial"/>
          <w:color w:val="000000"/>
          <w:kern w:val="0"/>
          <w:sz w:val="22"/>
          <w:szCs w:val="22"/>
          <w14:ligatures w14:val="none"/>
        </w:rPr>
        <w:t>2</w:t>
      </w:r>
      <w:r w:rsidRPr="00764A7B">
        <w:rPr>
          <w:rFonts w:ascii="Arial" w:eastAsia="ＭＳ Ｐゴシック" w:hAnsi="Arial" w:cs="Arial"/>
          <w:color w:val="000000"/>
          <w:kern w:val="0"/>
          <w:sz w:val="22"/>
          <w:szCs w:val="22"/>
          <w14:ligatures w14:val="none"/>
        </w:rPr>
        <w:t>つの学力群を定義した（</w:t>
      </w:r>
      <w:r w:rsidRPr="00764A7B">
        <w:rPr>
          <w:rFonts w:ascii="Arial" w:eastAsia="ＭＳ Ｐゴシック" w:hAnsi="Arial" w:cs="Arial"/>
          <w:color w:val="000000"/>
          <w:kern w:val="0"/>
          <w:sz w:val="22"/>
          <w:szCs w:val="22"/>
          <w14:ligatures w14:val="none"/>
        </w:rPr>
        <w:t>Table 5</w:t>
      </w:r>
      <w:r w:rsidRPr="00764A7B">
        <w:rPr>
          <w:rFonts w:ascii="Arial" w:eastAsia="ＭＳ Ｐゴシック" w:hAnsi="Arial" w:cs="Arial"/>
          <w:color w:val="000000"/>
          <w:kern w:val="0"/>
          <w:sz w:val="22"/>
          <w:szCs w:val="22"/>
          <w14:ligatures w14:val="none"/>
        </w:rPr>
        <w:t>）。クラス</w:t>
      </w:r>
      <w:r w:rsidRPr="00764A7B">
        <w:rPr>
          <w:rFonts w:ascii="Arial" w:eastAsia="ＭＳ Ｐゴシック" w:hAnsi="Arial" w:cs="Arial"/>
          <w:color w:val="000000"/>
          <w:kern w:val="0"/>
          <w:sz w:val="22"/>
          <w:szCs w:val="22"/>
          <w14:ligatures w14:val="none"/>
        </w:rPr>
        <w:t>A</w:t>
      </w:r>
      <w:r w:rsidRPr="00764A7B">
        <w:rPr>
          <w:rFonts w:ascii="Arial" w:eastAsia="ＭＳ Ｐゴシック" w:hAnsi="Arial" w:cs="Arial"/>
          <w:color w:val="000000"/>
          <w:kern w:val="0"/>
          <w:sz w:val="22"/>
          <w:szCs w:val="22"/>
          <w14:ligatures w14:val="none"/>
        </w:rPr>
        <w:t>（</w:t>
      </w:r>
      <w:r w:rsidRPr="00764A7B">
        <w:rPr>
          <w:rFonts w:ascii="Arial" w:eastAsia="ＭＳ Ｐゴシック" w:hAnsi="Arial" w:cs="Arial"/>
          <w:color w:val="000000"/>
          <w:kern w:val="0"/>
          <w:sz w:val="22"/>
          <w:szCs w:val="22"/>
          <w14:ligatures w14:val="none"/>
        </w:rPr>
        <w:t>33</w:t>
      </w:r>
      <w:r w:rsidRPr="00764A7B">
        <w:rPr>
          <w:rFonts w:ascii="Arial" w:eastAsia="ＭＳ Ｐゴシック" w:hAnsi="Arial" w:cs="Arial"/>
          <w:color w:val="000000"/>
          <w:kern w:val="0"/>
          <w:sz w:val="22"/>
          <w:szCs w:val="22"/>
          <w14:ligatures w14:val="none"/>
        </w:rPr>
        <w:lastRenderedPageBreak/>
        <w:t>名）の平均点は</w:t>
      </w:r>
      <w:r w:rsidRPr="00764A7B">
        <w:rPr>
          <w:rFonts w:ascii="Arial" w:eastAsia="ＭＳ Ｐゴシック" w:hAnsi="Arial" w:cs="Arial"/>
          <w:color w:val="000000"/>
          <w:kern w:val="0"/>
          <w:sz w:val="22"/>
          <w:szCs w:val="22"/>
          <w14:ligatures w14:val="none"/>
        </w:rPr>
        <w:t>70.0</w:t>
      </w:r>
      <w:r w:rsidRPr="00764A7B">
        <w:rPr>
          <w:rFonts w:ascii="Arial" w:eastAsia="ＭＳ Ｐゴシック" w:hAnsi="Arial" w:cs="Arial"/>
          <w:color w:val="000000"/>
          <w:kern w:val="0"/>
          <w:sz w:val="22"/>
          <w:szCs w:val="22"/>
          <w14:ligatures w14:val="none"/>
        </w:rPr>
        <w:t>点（</w:t>
      </w:r>
      <w:r w:rsidRPr="00764A7B">
        <w:rPr>
          <w:rFonts w:ascii="Arial" w:eastAsia="ＭＳ Ｐゴシック" w:hAnsi="Arial" w:cs="Arial"/>
          <w:color w:val="000000"/>
          <w:kern w:val="0"/>
          <w:sz w:val="22"/>
          <w:szCs w:val="22"/>
          <w14:ligatures w14:val="none"/>
        </w:rPr>
        <w:t>SD = 13.8</w:t>
      </w:r>
      <w:r w:rsidRPr="00764A7B">
        <w:rPr>
          <w:rFonts w:ascii="Arial" w:eastAsia="ＭＳ Ｐゴシック" w:hAnsi="Arial" w:cs="Arial"/>
          <w:color w:val="000000"/>
          <w:kern w:val="0"/>
          <w:sz w:val="22"/>
          <w:szCs w:val="22"/>
          <w14:ligatures w14:val="none"/>
        </w:rPr>
        <w:t>）であり「高学力群」、クラス</w:t>
      </w:r>
      <w:r w:rsidRPr="00764A7B">
        <w:rPr>
          <w:rFonts w:ascii="Arial" w:eastAsia="ＭＳ Ｐゴシック" w:hAnsi="Arial" w:cs="Arial"/>
          <w:color w:val="000000"/>
          <w:kern w:val="0"/>
          <w:sz w:val="22"/>
          <w:szCs w:val="22"/>
          <w14:ligatures w14:val="none"/>
        </w:rPr>
        <w:t>B</w:t>
      </w:r>
      <w:r w:rsidRPr="00764A7B">
        <w:rPr>
          <w:rFonts w:ascii="Arial" w:eastAsia="ＭＳ Ｐゴシック" w:hAnsi="Arial" w:cs="Arial"/>
          <w:color w:val="000000"/>
          <w:kern w:val="0"/>
          <w:sz w:val="22"/>
          <w:szCs w:val="22"/>
          <w14:ligatures w14:val="none"/>
        </w:rPr>
        <w:t>（</w:t>
      </w:r>
      <w:r w:rsidRPr="00764A7B">
        <w:rPr>
          <w:rFonts w:ascii="Arial" w:eastAsia="ＭＳ Ｐゴシック" w:hAnsi="Arial" w:cs="Arial"/>
          <w:color w:val="000000"/>
          <w:kern w:val="0"/>
          <w:sz w:val="22"/>
          <w:szCs w:val="22"/>
          <w14:ligatures w14:val="none"/>
        </w:rPr>
        <w:t>30</w:t>
      </w:r>
      <w:r w:rsidRPr="00764A7B">
        <w:rPr>
          <w:rFonts w:ascii="Arial" w:eastAsia="ＭＳ Ｐゴシック" w:hAnsi="Arial" w:cs="Arial"/>
          <w:color w:val="000000"/>
          <w:kern w:val="0"/>
          <w:sz w:val="22"/>
          <w:szCs w:val="22"/>
          <w14:ligatures w14:val="none"/>
        </w:rPr>
        <w:t>名）の平均点は</w:t>
      </w:r>
      <w:r w:rsidRPr="00764A7B">
        <w:rPr>
          <w:rFonts w:ascii="Arial" w:eastAsia="ＭＳ Ｐゴシック" w:hAnsi="Arial" w:cs="Arial"/>
          <w:color w:val="000000"/>
          <w:kern w:val="0"/>
          <w:sz w:val="22"/>
          <w:szCs w:val="22"/>
          <w14:ligatures w14:val="none"/>
        </w:rPr>
        <w:t>62.0</w:t>
      </w:r>
      <w:r w:rsidRPr="00764A7B">
        <w:rPr>
          <w:rFonts w:ascii="Arial" w:eastAsia="ＭＳ Ｐゴシック" w:hAnsi="Arial" w:cs="Arial"/>
          <w:color w:val="000000"/>
          <w:kern w:val="0"/>
          <w:sz w:val="22"/>
          <w:szCs w:val="22"/>
          <w14:ligatures w14:val="none"/>
        </w:rPr>
        <w:t>点（</w:t>
      </w:r>
      <w:r w:rsidRPr="00764A7B">
        <w:rPr>
          <w:rFonts w:ascii="Arial" w:eastAsia="ＭＳ Ｐゴシック" w:hAnsi="Arial" w:cs="Arial"/>
          <w:color w:val="000000"/>
          <w:kern w:val="0"/>
          <w:sz w:val="22"/>
          <w:szCs w:val="22"/>
          <w14:ligatures w14:val="none"/>
        </w:rPr>
        <w:t>SD = 13.7</w:t>
      </w:r>
      <w:r w:rsidRPr="00764A7B">
        <w:rPr>
          <w:rFonts w:ascii="Arial" w:eastAsia="ＭＳ Ｐゴシック" w:hAnsi="Arial" w:cs="Arial"/>
          <w:color w:val="000000"/>
          <w:kern w:val="0"/>
          <w:sz w:val="22"/>
          <w:szCs w:val="22"/>
          <w14:ligatures w14:val="none"/>
        </w:rPr>
        <w:t>）であり「中学力群」とした。</w:t>
      </w:r>
    </w:p>
    <w:p w14:paraId="23420DBE"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Cambria Math" w:eastAsia="ＭＳ Ｐゴシック" w:hAnsi="Cambria Math" w:cs="Cambria Math"/>
          <w:b/>
          <w:bCs/>
          <w:color w:val="000000"/>
          <w:kern w:val="0"/>
          <w:sz w:val="22"/>
          <w:szCs w:val="22"/>
          <w14:ligatures w14:val="none"/>
        </w:rPr>
        <w:t>②</w:t>
      </w:r>
      <w:r w:rsidRPr="00764A7B">
        <w:rPr>
          <w:rFonts w:ascii="Arial" w:eastAsia="ＭＳ Ｐゴシック" w:hAnsi="Arial" w:cs="Arial"/>
          <w:b/>
          <w:bCs/>
          <w:color w:val="000000"/>
          <w:kern w:val="0"/>
          <w:sz w:val="22"/>
          <w:szCs w:val="22"/>
          <w14:ligatures w14:val="none"/>
        </w:rPr>
        <w:t>自己調整能力の変容（総合点）</w:t>
      </w:r>
      <w:r w:rsidRPr="00764A7B">
        <w:rPr>
          <w:rFonts w:ascii="Century" w:eastAsia="ＭＳ Ｐゴシック" w:hAnsi="Century" w:cs="ＭＳ Ｐゴシック"/>
          <w:noProof/>
          <w:color w:val="000000"/>
          <w:kern w:val="0"/>
          <w:szCs w:val="21"/>
          <w:bdr w:val="single" w:sz="2" w:space="0" w:color="000000" w:frame="1"/>
          <w14:ligatures w14:val="none"/>
        </w:rPr>
        <w:drawing>
          <wp:inline distT="0" distB="0" distL="0" distR="0" wp14:anchorId="6FE86AB4" wp14:editId="42527E5E">
            <wp:extent cx="4064000" cy="1320800"/>
            <wp:effectExtent l="0" t="0" r="0" b="0"/>
            <wp:docPr id="285929333"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64000" cy="1320800"/>
                    </a:xfrm>
                    <a:prstGeom prst="rect">
                      <a:avLst/>
                    </a:prstGeom>
                    <a:noFill/>
                    <a:ln>
                      <a:noFill/>
                    </a:ln>
                  </pic:spPr>
                </pic:pic>
              </a:graphicData>
            </a:graphic>
          </wp:inline>
        </w:drawing>
      </w:r>
      <w:r w:rsidRPr="00764A7B">
        <w:rPr>
          <w:rFonts w:ascii="Century" w:eastAsia="ＭＳ Ｐゴシック" w:hAnsi="Century" w:cs="ＭＳ Ｐゴシック"/>
          <w:noProof/>
          <w:color w:val="000000"/>
          <w:kern w:val="0"/>
          <w:szCs w:val="21"/>
          <w:bdr w:val="single" w:sz="2" w:space="0" w:color="000000" w:frame="1"/>
          <w14:ligatures w14:val="none"/>
        </w:rPr>
        <w:drawing>
          <wp:inline distT="0" distB="0" distL="0" distR="0" wp14:anchorId="71C6A31A" wp14:editId="6C6C1D2B">
            <wp:extent cx="4064000" cy="3949700"/>
            <wp:effectExtent l="0" t="0" r="0" b="0"/>
            <wp:docPr id="1614616231"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64000" cy="3949700"/>
                    </a:xfrm>
                    <a:prstGeom prst="rect">
                      <a:avLst/>
                    </a:prstGeom>
                    <a:noFill/>
                    <a:ln>
                      <a:noFill/>
                    </a:ln>
                  </pic:spPr>
                </pic:pic>
              </a:graphicData>
            </a:graphic>
          </wp:inline>
        </w:drawing>
      </w:r>
    </w:p>
    <w:p w14:paraId="3815E5A6"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本プログラムが児童の自己調整能力に及ぼす影響を検討するため、質問紙（全</w:t>
      </w:r>
      <w:r w:rsidRPr="00764A7B">
        <w:rPr>
          <w:rFonts w:ascii="Arial" w:eastAsia="ＭＳ Ｐゴシック" w:hAnsi="Arial" w:cs="Arial"/>
          <w:color w:val="000000"/>
          <w:kern w:val="0"/>
          <w:sz w:val="22"/>
          <w:szCs w:val="22"/>
          <w14:ligatures w14:val="none"/>
        </w:rPr>
        <w:t>7</w:t>
      </w:r>
      <w:r w:rsidRPr="00764A7B">
        <w:rPr>
          <w:rFonts w:ascii="Arial" w:eastAsia="ＭＳ Ｐゴシック" w:hAnsi="Arial" w:cs="Arial"/>
          <w:color w:val="000000"/>
          <w:kern w:val="0"/>
          <w:sz w:val="22"/>
          <w:szCs w:val="22"/>
          <w14:ligatures w14:val="none"/>
        </w:rPr>
        <w:t>項目、合計</w:t>
      </w:r>
      <w:r w:rsidRPr="00764A7B">
        <w:rPr>
          <w:rFonts w:ascii="Arial" w:eastAsia="ＭＳ Ｐゴシック" w:hAnsi="Arial" w:cs="Arial"/>
          <w:color w:val="000000"/>
          <w:kern w:val="0"/>
          <w:sz w:val="22"/>
          <w:szCs w:val="22"/>
          <w14:ligatures w14:val="none"/>
        </w:rPr>
        <w:t>35</w:t>
      </w:r>
      <w:r w:rsidRPr="00764A7B">
        <w:rPr>
          <w:rFonts w:ascii="Arial" w:eastAsia="ＭＳ Ｐゴシック" w:hAnsi="Arial" w:cs="Arial"/>
          <w:color w:val="000000"/>
          <w:kern w:val="0"/>
          <w:sz w:val="22"/>
          <w:szCs w:val="22"/>
          <w14:ligatures w14:val="none"/>
        </w:rPr>
        <w:t>点満点）の合計得点（</w:t>
      </w:r>
      <w:r w:rsidRPr="00764A7B">
        <w:rPr>
          <w:rFonts w:ascii="Arial" w:eastAsia="ＭＳ Ｐゴシック" w:hAnsi="Arial" w:cs="Arial"/>
          <w:color w:val="000000"/>
          <w:kern w:val="0"/>
          <w:sz w:val="22"/>
          <w:szCs w:val="22"/>
          <w14:ligatures w14:val="none"/>
        </w:rPr>
        <w:t>Total</w:t>
      </w:r>
      <w:r w:rsidRPr="00764A7B">
        <w:rPr>
          <w:rFonts w:ascii="Arial" w:eastAsia="ＭＳ Ｐゴシック" w:hAnsi="Arial" w:cs="Arial"/>
          <w:color w:val="000000"/>
          <w:kern w:val="0"/>
          <w:sz w:val="22"/>
          <w:szCs w:val="22"/>
          <w14:ligatures w14:val="none"/>
        </w:rPr>
        <w:t>）について、クラス</w:t>
      </w:r>
      <w:r w:rsidRPr="00764A7B">
        <w:rPr>
          <w:rFonts w:ascii="Arial" w:eastAsia="ＭＳ Ｐゴシック" w:hAnsi="Arial" w:cs="Arial"/>
          <w:color w:val="000000"/>
          <w:kern w:val="0"/>
          <w:sz w:val="22"/>
          <w:szCs w:val="22"/>
          <w14:ligatures w14:val="none"/>
        </w:rPr>
        <w:t>A</w:t>
      </w:r>
      <w:r w:rsidRPr="00764A7B">
        <w:rPr>
          <w:rFonts w:ascii="Arial" w:eastAsia="ＭＳ Ｐゴシック" w:hAnsi="Arial" w:cs="Arial"/>
          <w:color w:val="000000"/>
          <w:kern w:val="0"/>
          <w:sz w:val="22"/>
          <w:szCs w:val="22"/>
          <w14:ligatures w14:val="none"/>
        </w:rPr>
        <w:t>・</w:t>
      </w:r>
      <w:r w:rsidRPr="00764A7B">
        <w:rPr>
          <w:rFonts w:ascii="Arial" w:eastAsia="ＭＳ Ｐゴシック" w:hAnsi="Arial" w:cs="Arial"/>
          <w:color w:val="000000"/>
          <w:kern w:val="0"/>
          <w:sz w:val="22"/>
          <w:szCs w:val="22"/>
          <w14:ligatures w14:val="none"/>
        </w:rPr>
        <w:t>B</w:t>
      </w:r>
      <w:r w:rsidRPr="00764A7B">
        <w:rPr>
          <w:rFonts w:ascii="Arial" w:eastAsia="ＭＳ Ｐゴシック" w:hAnsi="Arial" w:cs="Arial"/>
          <w:color w:val="000000"/>
          <w:kern w:val="0"/>
          <w:sz w:val="22"/>
          <w:szCs w:val="22"/>
          <w14:ligatures w14:val="none"/>
        </w:rPr>
        <w:t>を統合した全体データでプレ調査とポスト調査の比較を行った（</w:t>
      </w:r>
      <w:r w:rsidRPr="00764A7B">
        <w:rPr>
          <w:rFonts w:ascii="Arial" w:eastAsia="ＭＳ Ｐゴシック" w:hAnsi="Arial" w:cs="Arial"/>
          <w:color w:val="000000"/>
          <w:kern w:val="0"/>
          <w:sz w:val="22"/>
          <w:szCs w:val="22"/>
          <w14:ligatures w14:val="none"/>
        </w:rPr>
        <w:t>Figure 1</w:t>
      </w:r>
      <w:r w:rsidRPr="00764A7B">
        <w:rPr>
          <w:rFonts w:ascii="Arial" w:eastAsia="ＭＳ Ｐゴシック" w:hAnsi="Arial" w:cs="Arial"/>
          <w:color w:val="000000"/>
          <w:kern w:val="0"/>
          <w:sz w:val="22"/>
          <w:szCs w:val="22"/>
          <w14:ligatures w14:val="none"/>
        </w:rPr>
        <w:t>）。</w:t>
      </w:r>
    </w:p>
    <w:p w14:paraId="3B17F0EA"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対応のある</w:t>
      </w:r>
      <w:r w:rsidRPr="00764A7B">
        <w:rPr>
          <w:rFonts w:ascii="Arial" w:eastAsia="ＭＳ Ｐゴシック" w:hAnsi="Arial" w:cs="Arial"/>
          <w:color w:val="000000"/>
          <w:kern w:val="0"/>
          <w:sz w:val="22"/>
          <w:szCs w:val="22"/>
          <w14:ligatures w14:val="none"/>
        </w:rPr>
        <w:t>t</w:t>
      </w:r>
      <w:r w:rsidRPr="00764A7B">
        <w:rPr>
          <w:rFonts w:ascii="Arial" w:eastAsia="ＭＳ Ｐゴシック" w:hAnsi="Arial" w:cs="Arial"/>
          <w:color w:val="000000"/>
          <w:kern w:val="0"/>
          <w:sz w:val="22"/>
          <w:szCs w:val="22"/>
          <w14:ligatures w14:val="none"/>
        </w:rPr>
        <w:t>検定を実施した結果、事前の合計得点平均</w:t>
      </w:r>
      <w:r w:rsidRPr="00764A7B">
        <w:rPr>
          <w:rFonts w:ascii="Arial" w:eastAsia="ＭＳ Ｐゴシック" w:hAnsi="Arial" w:cs="Arial"/>
          <w:color w:val="000000"/>
          <w:kern w:val="0"/>
          <w:sz w:val="22"/>
          <w:szCs w:val="22"/>
          <w14:ligatures w14:val="none"/>
        </w:rPr>
        <w:t>14.60</w:t>
      </w:r>
      <w:r w:rsidRPr="00764A7B">
        <w:rPr>
          <w:rFonts w:ascii="Arial" w:eastAsia="ＭＳ Ｐゴシック" w:hAnsi="Arial" w:cs="Arial"/>
          <w:color w:val="000000"/>
          <w:kern w:val="0"/>
          <w:sz w:val="22"/>
          <w:szCs w:val="22"/>
          <w14:ligatures w14:val="none"/>
        </w:rPr>
        <w:t>点（</w:t>
      </w:r>
      <w:r w:rsidRPr="00764A7B">
        <w:rPr>
          <w:rFonts w:ascii="Arial" w:eastAsia="ＭＳ Ｐゴシック" w:hAnsi="Arial" w:cs="Arial"/>
          <w:color w:val="000000"/>
          <w:kern w:val="0"/>
          <w:sz w:val="22"/>
          <w:szCs w:val="22"/>
          <w14:ligatures w14:val="none"/>
        </w:rPr>
        <w:t>SD = 8.13</w:t>
      </w:r>
      <w:r w:rsidRPr="00764A7B">
        <w:rPr>
          <w:rFonts w:ascii="Arial" w:eastAsia="ＭＳ Ｐゴシック" w:hAnsi="Arial" w:cs="Arial"/>
          <w:color w:val="000000"/>
          <w:kern w:val="0"/>
          <w:sz w:val="22"/>
          <w:szCs w:val="22"/>
          <w14:ligatures w14:val="none"/>
        </w:rPr>
        <w:t>）から、事後には</w:t>
      </w:r>
      <w:r w:rsidRPr="00764A7B">
        <w:rPr>
          <w:rFonts w:ascii="Arial" w:eastAsia="ＭＳ Ｐゴシック" w:hAnsi="Arial" w:cs="Arial"/>
          <w:color w:val="000000"/>
          <w:kern w:val="0"/>
          <w:sz w:val="22"/>
          <w:szCs w:val="22"/>
          <w14:ligatures w14:val="none"/>
        </w:rPr>
        <w:t>21.30</w:t>
      </w:r>
      <w:r w:rsidRPr="00764A7B">
        <w:rPr>
          <w:rFonts w:ascii="Arial" w:eastAsia="ＭＳ Ｐゴシック" w:hAnsi="Arial" w:cs="Arial"/>
          <w:color w:val="000000"/>
          <w:kern w:val="0"/>
          <w:sz w:val="22"/>
          <w:szCs w:val="22"/>
          <w14:ligatures w14:val="none"/>
        </w:rPr>
        <w:t>点（</w:t>
      </w:r>
      <w:r w:rsidRPr="00764A7B">
        <w:rPr>
          <w:rFonts w:ascii="Arial" w:eastAsia="ＭＳ Ｐゴシック" w:hAnsi="Arial" w:cs="Arial"/>
          <w:color w:val="000000"/>
          <w:kern w:val="0"/>
          <w:sz w:val="22"/>
          <w:szCs w:val="22"/>
          <w14:ligatures w14:val="none"/>
        </w:rPr>
        <w:t>SD = 8.90</w:t>
      </w:r>
      <w:r w:rsidRPr="00764A7B">
        <w:rPr>
          <w:rFonts w:ascii="Arial" w:eastAsia="ＭＳ Ｐゴシック" w:hAnsi="Arial" w:cs="Arial"/>
          <w:color w:val="000000"/>
          <w:kern w:val="0"/>
          <w:sz w:val="22"/>
          <w:szCs w:val="22"/>
          <w14:ligatures w14:val="none"/>
        </w:rPr>
        <w:t>）へと</w:t>
      </w:r>
      <w:r w:rsidRPr="00764A7B">
        <w:rPr>
          <w:rFonts w:ascii="Arial" w:eastAsia="ＭＳ Ｐゴシック" w:hAnsi="Arial" w:cs="Arial"/>
          <w:color w:val="000000"/>
          <w:kern w:val="0"/>
          <w:sz w:val="22"/>
          <w:szCs w:val="22"/>
          <w14:ligatures w14:val="none"/>
        </w:rPr>
        <w:t>6.7</w:t>
      </w:r>
      <w:r w:rsidRPr="00764A7B">
        <w:rPr>
          <w:rFonts w:ascii="Arial" w:eastAsia="ＭＳ Ｐゴシック" w:hAnsi="Arial" w:cs="Arial"/>
          <w:color w:val="000000"/>
          <w:kern w:val="0"/>
          <w:sz w:val="22"/>
          <w:szCs w:val="22"/>
          <w14:ligatures w14:val="none"/>
        </w:rPr>
        <w:t>点上昇、到達率は</w:t>
      </w:r>
      <w:r w:rsidRPr="00764A7B">
        <w:rPr>
          <w:rFonts w:ascii="Arial" w:eastAsia="ＭＳ Ｐゴシック" w:hAnsi="Arial" w:cs="Arial"/>
          <w:color w:val="000000"/>
          <w:kern w:val="0"/>
          <w:sz w:val="22"/>
          <w:szCs w:val="22"/>
          <w14:ligatures w14:val="none"/>
        </w:rPr>
        <w:t>41.7%</w:t>
      </w:r>
      <w:r w:rsidRPr="00764A7B">
        <w:rPr>
          <w:rFonts w:ascii="Arial" w:eastAsia="ＭＳ Ｐゴシック" w:hAnsi="Arial" w:cs="Arial"/>
          <w:color w:val="000000"/>
          <w:kern w:val="0"/>
          <w:sz w:val="22"/>
          <w:szCs w:val="22"/>
          <w14:ligatures w14:val="none"/>
        </w:rPr>
        <w:t>から</w:t>
      </w:r>
      <w:r w:rsidRPr="00764A7B">
        <w:rPr>
          <w:rFonts w:ascii="Arial" w:eastAsia="ＭＳ Ｐゴシック" w:hAnsi="Arial" w:cs="Arial"/>
          <w:color w:val="000000"/>
          <w:kern w:val="0"/>
          <w:sz w:val="22"/>
          <w:szCs w:val="22"/>
          <w14:ligatures w14:val="none"/>
        </w:rPr>
        <w:t>60.9%</w:t>
      </w:r>
      <w:r w:rsidRPr="00764A7B">
        <w:rPr>
          <w:rFonts w:ascii="Arial" w:eastAsia="ＭＳ Ｐゴシック" w:hAnsi="Arial" w:cs="Arial"/>
          <w:color w:val="000000"/>
          <w:kern w:val="0"/>
          <w:sz w:val="22"/>
          <w:szCs w:val="22"/>
          <w14:ligatures w14:val="none"/>
        </w:rPr>
        <w:t>に増加し、統計的に有意な上昇が認められた（</w:t>
      </w:r>
      <w:r w:rsidRPr="00764A7B">
        <w:rPr>
          <w:rFonts w:ascii="Arial" w:eastAsia="ＭＳ Ｐゴシック" w:hAnsi="Arial" w:cs="Arial"/>
          <w:color w:val="000000"/>
          <w:kern w:val="0"/>
          <w:sz w:val="22"/>
          <w:szCs w:val="22"/>
          <w14:ligatures w14:val="none"/>
        </w:rPr>
        <w:t>p &lt; .001</w:t>
      </w:r>
      <w:r w:rsidRPr="00764A7B">
        <w:rPr>
          <w:rFonts w:ascii="Arial" w:eastAsia="ＭＳ Ｐゴシック" w:hAnsi="Arial" w:cs="Arial"/>
          <w:color w:val="000000"/>
          <w:kern w:val="0"/>
          <w:sz w:val="22"/>
          <w:szCs w:val="22"/>
          <w14:ligatures w14:val="none"/>
        </w:rPr>
        <w:t>）。この結果は、プログラムを通じて児童全体の自己調</w:t>
      </w:r>
      <w:r w:rsidRPr="00764A7B">
        <w:rPr>
          <w:rFonts w:ascii="Arial" w:eastAsia="ＭＳ Ｐゴシック" w:hAnsi="Arial" w:cs="Arial"/>
          <w:color w:val="000000"/>
          <w:kern w:val="0"/>
          <w:sz w:val="22"/>
          <w:szCs w:val="22"/>
          <w14:ligatures w14:val="none"/>
        </w:rPr>
        <w:lastRenderedPageBreak/>
        <w:t>整能力が向上したことを示している。</w:t>
      </w:r>
      <w:r w:rsidRPr="00764A7B">
        <w:rPr>
          <w:rFonts w:ascii="Century" w:eastAsia="ＭＳ Ｐゴシック" w:hAnsi="Century" w:cs="ＭＳ Ｐゴシック"/>
          <w:noProof/>
          <w:color w:val="000000"/>
          <w:kern w:val="0"/>
          <w:szCs w:val="21"/>
          <w:bdr w:val="single" w:sz="2" w:space="0" w:color="000000" w:frame="1"/>
          <w14:ligatures w14:val="none"/>
        </w:rPr>
        <w:drawing>
          <wp:inline distT="0" distB="0" distL="0" distR="0" wp14:anchorId="0AA7FD13" wp14:editId="69A47E84">
            <wp:extent cx="4064000" cy="3860800"/>
            <wp:effectExtent l="0" t="0" r="0" b="0"/>
            <wp:docPr id="97314012"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64000" cy="3860800"/>
                    </a:xfrm>
                    <a:prstGeom prst="rect">
                      <a:avLst/>
                    </a:prstGeom>
                    <a:noFill/>
                    <a:ln>
                      <a:noFill/>
                    </a:ln>
                  </pic:spPr>
                </pic:pic>
              </a:graphicData>
            </a:graphic>
          </wp:inline>
        </w:drawing>
      </w:r>
    </w:p>
    <w:p w14:paraId="20821228"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さらに、学力群（クラス）ごとの変化を確認したところ、高学力群であるクラス</w:t>
      </w:r>
      <w:r w:rsidRPr="00764A7B">
        <w:rPr>
          <w:rFonts w:ascii="Arial" w:eastAsia="ＭＳ Ｐゴシック" w:hAnsi="Arial" w:cs="Arial"/>
          <w:color w:val="000000"/>
          <w:kern w:val="0"/>
          <w:sz w:val="22"/>
          <w:szCs w:val="22"/>
          <w14:ligatures w14:val="none"/>
        </w:rPr>
        <w:t>A</w:t>
      </w:r>
      <w:r w:rsidRPr="00764A7B">
        <w:rPr>
          <w:rFonts w:ascii="Arial" w:eastAsia="ＭＳ Ｐゴシック" w:hAnsi="Arial" w:cs="Arial"/>
          <w:color w:val="000000"/>
          <w:kern w:val="0"/>
          <w:sz w:val="22"/>
          <w:szCs w:val="22"/>
          <w14:ligatures w14:val="none"/>
        </w:rPr>
        <w:t>ではプレ調査</w:t>
      </w:r>
      <w:r w:rsidRPr="00764A7B">
        <w:rPr>
          <w:rFonts w:ascii="Arial" w:eastAsia="ＭＳ Ｐゴシック" w:hAnsi="Arial" w:cs="Arial"/>
          <w:color w:val="000000"/>
          <w:kern w:val="0"/>
          <w:sz w:val="22"/>
          <w:szCs w:val="22"/>
          <w14:ligatures w14:val="none"/>
        </w:rPr>
        <w:t>15.06</w:t>
      </w:r>
      <w:r w:rsidRPr="00764A7B">
        <w:rPr>
          <w:rFonts w:ascii="Arial" w:eastAsia="ＭＳ Ｐゴシック" w:hAnsi="Arial" w:cs="Arial"/>
          <w:color w:val="000000"/>
          <w:kern w:val="0"/>
          <w:sz w:val="22"/>
          <w:szCs w:val="22"/>
          <w14:ligatures w14:val="none"/>
        </w:rPr>
        <w:t>点（</w:t>
      </w:r>
      <w:r w:rsidRPr="00764A7B">
        <w:rPr>
          <w:rFonts w:ascii="Arial" w:eastAsia="ＭＳ Ｐゴシック" w:hAnsi="Arial" w:cs="Arial"/>
          <w:color w:val="000000"/>
          <w:kern w:val="0"/>
          <w:sz w:val="22"/>
          <w:szCs w:val="22"/>
          <w14:ligatures w14:val="none"/>
        </w:rPr>
        <w:t>SD = 8.56</w:t>
      </w:r>
      <w:r w:rsidRPr="00764A7B">
        <w:rPr>
          <w:rFonts w:ascii="Arial" w:eastAsia="ＭＳ Ｐゴシック" w:hAnsi="Arial" w:cs="Arial"/>
          <w:color w:val="000000"/>
          <w:kern w:val="0"/>
          <w:sz w:val="22"/>
          <w:szCs w:val="22"/>
          <w14:ligatures w14:val="none"/>
        </w:rPr>
        <w:t>）からポスト調査</w:t>
      </w:r>
      <w:r w:rsidRPr="00764A7B">
        <w:rPr>
          <w:rFonts w:ascii="Arial" w:eastAsia="ＭＳ Ｐゴシック" w:hAnsi="Arial" w:cs="Arial"/>
          <w:color w:val="000000"/>
          <w:kern w:val="0"/>
          <w:sz w:val="22"/>
          <w:szCs w:val="22"/>
          <w14:ligatures w14:val="none"/>
        </w:rPr>
        <w:t>21.79</w:t>
      </w:r>
      <w:r w:rsidRPr="00764A7B">
        <w:rPr>
          <w:rFonts w:ascii="Arial" w:eastAsia="ＭＳ Ｐゴシック" w:hAnsi="Arial" w:cs="Arial"/>
          <w:color w:val="000000"/>
          <w:kern w:val="0"/>
          <w:sz w:val="22"/>
          <w:szCs w:val="22"/>
          <w14:ligatures w14:val="none"/>
        </w:rPr>
        <w:t>点（</w:t>
      </w:r>
      <w:r w:rsidRPr="00764A7B">
        <w:rPr>
          <w:rFonts w:ascii="Arial" w:eastAsia="ＭＳ Ｐゴシック" w:hAnsi="Arial" w:cs="Arial"/>
          <w:color w:val="000000"/>
          <w:kern w:val="0"/>
          <w:sz w:val="22"/>
          <w:szCs w:val="22"/>
          <w14:ligatures w14:val="none"/>
        </w:rPr>
        <w:t>SD = 9.17</w:t>
      </w:r>
      <w:r w:rsidRPr="00764A7B">
        <w:rPr>
          <w:rFonts w:ascii="Arial" w:eastAsia="ＭＳ Ｐゴシック" w:hAnsi="Arial" w:cs="Arial"/>
          <w:color w:val="000000"/>
          <w:kern w:val="0"/>
          <w:sz w:val="22"/>
          <w:szCs w:val="22"/>
          <w14:ligatures w14:val="none"/>
        </w:rPr>
        <w:t>）への上昇が見られた（</w:t>
      </w:r>
      <w:r w:rsidRPr="00764A7B">
        <w:rPr>
          <w:rFonts w:ascii="Arial" w:eastAsia="ＭＳ Ｐゴシック" w:hAnsi="Arial" w:cs="Arial"/>
          <w:color w:val="000000"/>
          <w:kern w:val="0"/>
          <w:sz w:val="22"/>
          <w:szCs w:val="22"/>
          <w14:ligatures w14:val="none"/>
        </w:rPr>
        <w:t>p &lt; .001</w:t>
      </w:r>
      <w:r w:rsidRPr="00764A7B">
        <w:rPr>
          <w:rFonts w:ascii="Arial" w:eastAsia="ＭＳ Ｐゴシック" w:hAnsi="Arial" w:cs="Arial"/>
          <w:color w:val="000000"/>
          <w:kern w:val="0"/>
          <w:sz w:val="22"/>
          <w:szCs w:val="22"/>
          <w14:ligatures w14:val="none"/>
        </w:rPr>
        <w:t>）（</w:t>
      </w:r>
      <w:r w:rsidRPr="00764A7B">
        <w:rPr>
          <w:rFonts w:ascii="Arial" w:eastAsia="ＭＳ Ｐゴシック" w:hAnsi="Arial" w:cs="Arial"/>
          <w:color w:val="000000"/>
          <w:kern w:val="0"/>
          <w:sz w:val="22"/>
          <w:szCs w:val="22"/>
          <w14:ligatures w14:val="none"/>
        </w:rPr>
        <w:t>Figure 2</w:t>
      </w:r>
      <w:r w:rsidRPr="00764A7B">
        <w:rPr>
          <w:rFonts w:ascii="Arial" w:eastAsia="ＭＳ Ｐゴシック" w:hAnsi="Arial" w:cs="Arial"/>
          <w:color w:val="000000"/>
          <w:kern w:val="0"/>
          <w:sz w:val="22"/>
          <w:szCs w:val="22"/>
          <w14:ligatures w14:val="none"/>
        </w:rPr>
        <w:t>）。同様に、中学力群であるクラス</w:t>
      </w:r>
      <w:r w:rsidRPr="00764A7B">
        <w:rPr>
          <w:rFonts w:ascii="Arial" w:eastAsia="ＭＳ Ｐゴシック" w:hAnsi="Arial" w:cs="Arial"/>
          <w:color w:val="000000"/>
          <w:kern w:val="0"/>
          <w:sz w:val="22"/>
          <w:szCs w:val="22"/>
          <w14:ligatures w14:val="none"/>
        </w:rPr>
        <w:t>B</w:t>
      </w:r>
      <w:r w:rsidRPr="00764A7B">
        <w:rPr>
          <w:rFonts w:ascii="Arial" w:eastAsia="ＭＳ Ｐゴシック" w:hAnsi="Arial" w:cs="Arial"/>
          <w:color w:val="000000"/>
          <w:kern w:val="0"/>
          <w:sz w:val="22"/>
          <w:szCs w:val="22"/>
          <w14:ligatures w14:val="none"/>
        </w:rPr>
        <w:t>においても、プレ調査</w:t>
      </w:r>
      <w:r w:rsidRPr="00764A7B">
        <w:rPr>
          <w:rFonts w:ascii="Arial" w:eastAsia="ＭＳ Ｐゴシック" w:hAnsi="Arial" w:cs="Arial"/>
          <w:color w:val="000000"/>
          <w:kern w:val="0"/>
          <w:sz w:val="22"/>
          <w:szCs w:val="22"/>
          <w14:ligatures w14:val="none"/>
        </w:rPr>
        <w:t>14.10</w:t>
      </w:r>
      <w:r w:rsidRPr="00764A7B">
        <w:rPr>
          <w:rFonts w:ascii="Arial" w:eastAsia="ＭＳ Ｐゴシック" w:hAnsi="Arial" w:cs="Arial"/>
          <w:color w:val="000000"/>
          <w:kern w:val="0"/>
          <w:sz w:val="22"/>
          <w:szCs w:val="22"/>
          <w14:ligatures w14:val="none"/>
        </w:rPr>
        <w:t>点（</w:t>
      </w:r>
      <w:r w:rsidRPr="00764A7B">
        <w:rPr>
          <w:rFonts w:ascii="Arial" w:eastAsia="ＭＳ Ｐゴシック" w:hAnsi="Arial" w:cs="Arial"/>
          <w:color w:val="000000"/>
          <w:kern w:val="0"/>
          <w:sz w:val="22"/>
          <w:szCs w:val="22"/>
          <w14:ligatures w14:val="none"/>
        </w:rPr>
        <w:t>SD = 7.73</w:t>
      </w:r>
      <w:r w:rsidRPr="00764A7B">
        <w:rPr>
          <w:rFonts w:ascii="Arial" w:eastAsia="ＭＳ Ｐゴシック" w:hAnsi="Arial" w:cs="Arial"/>
          <w:color w:val="000000"/>
          <w:kern w:val="0"/>
          <w:sz w:val="22"/>
          <w:szCs w:val="22"/>
          <w14:ligatures w14:val="none"/>
        </w:rPr>
        <w:t>）</w:t>
      </w:r>
      <w:r w:rsidRPr="00764A7B">
        <w:rPr>
          <w:rFonts w:ascii="Arial" w:eastAsia="ＭＳ Ｐゴシック" w:hAnsi="Arial" w:cs="Arial"/>
          <w:color w:val="000000"/>
          <w:kern w:val="0"/>
          <w:sz w:val="22"/>
          <w:szCs w:val="22"/>
          <w14:ligatures w14:val="none"/>
        </w:rPr>
        <w:lastRenderedPageBreak/>
        <w:t>からポスト調査</w:t>
      </w:r>
      <w:r w:rsidRPr="00764A7B">
        <w:rPr>
          <w:rFonts w:ascii="Arial" w:eastAsia="ＭＳ Ｐゴシック" w:hAnsi="Arial" w:cs="Arial"/>
          <w:color w:val="000000"/>
          <w:kern w:val="0"/>
          <w:sz w:val="22"/>
          <w:szCs w:val="22"/>
          <w14:ligatures w14:val="none"/>
        </w:rPr>
        <w:t>20.77</w:t>
      </w:r>
      <w:r w:rsidRPr="00764A7B">
        <w:rPr>
          <w:rFonts w:ascii="Arial" w:eastAsia="ＭＳ Ｐゴシック" w:hAnsi="Arial" w:cs="Arial"/>
          <w:color w:val="000000"/>
          <w:kern w:val="0"/>
          <w:sz w:val="22"/>
          <w:szCs w:val="22"/>
          <w14:ligatures w14:val="none"/>
        </w:rPr>
        <w:t>点（</w:t>
      </w:r>
      <w:r w:rsidRPr="00764A7B">
        <w:rPr>
          <w:rFonts w:ascii="Arial" w:eastAsia="ＭＳ Ｐゴシック" w:hAnsi="Arial" w:cs="Arial"/>
          <w:color w:val="000000"/>
          <w:kern w:val="0"/>
          <w:sz w:val="22"/>
          <w:szCs w:val="22"/>
          <w14:ligatures w14:val="none"/>
        </w:rPr>
        <w:t>SD = 8.71</w:t>
      </w:r>
      <w:r w:rsidRPr="00764A7B">
        <w:rPr>
          <w:rFonts w:ascii="Arial" w:eastAsia="ＭＳ Ｐゴシック" w:hAnsi="Arial" w:cs="Arial"/>
          <w:color w:val="000000"/>
          <w:kern w:val="0"/>
          <w:sz w:val="22"/>
          <w:szCs w:val="22"/>
          <w14:ligatures w14:val="none"/>
        </w:rPr>
        <w:t>）へと有意な上昇が確認された（</w:t>
      </w:r>
      <w:r w:rsidRPr="00764A7B">
        <w:rPr>
          <w:rFonts w:ascii="Arial" w:eastAsia="ＭＳ Ｐゴシック" w:hAnsi="Arial" w:cs="Arial"/>
          <w:color w:val="000000"/>
          <w:kern w:val="0"/>
          <w:sz w:val="22"/>
          <w:szCs w:val="22"/>
          <w14:ligatures w14:val="none"/>
        </w:rPr>
        <w:t>p &lt; .001</w:t>
      </w:r>
      <w:r w:rsidRPr="00764A7B">
        <w:rPr>
          <w:rFonts w:ascii="Arial" w:eastAsia="ＭＳ Ｐゴシック" w:hAnsi="Arial" w:cs="Arial"/>
          <w:color w:val="000000"/>
          <w:kern w:val="0"/>
          <w:sz w:val="22"/>
          <w:szCs w:val="22"/>
          <w14:ligatures w14:val="none"/>
        </w:rPr>
        <w:t>）（</w:t>
      </w:r>
      <w:r w:rsidRPr="00764A7B">
        <w:rPr>
          <w:rFonts w:ascii="Arial" w:eastAsia="ＭＳ Ｐゴシック" w:hAnsi="Arial" w:cs="Arial"/>
          <w:color w:val="000000"/>
          <w:kern w:val="0"/>
          <w:sz w:val="22"/>
          <w:szCs w:val="22"/>
          <w14:ligatures w14:val="none"/>
        </w:rPr>
        <w:t>Figure 3</w:t>
      </w:r>
      <w:r w:rsidRPr="00764A7B">
        <w:rPr>
          <w:rFonts w:ascii="Arial" w:eastAsia="ＭＳ Ｐゴシック" w:hAnsi="Arial" w:cs="Arial"/>
          <w:color w:val="000000"/>
          <w:kern w:val="0"/>
          <w:sz w:val="22"/>
          <w:szCs w:val="22"/>
          <w14:ligatures w14:val="none"/>
        </w:rPr>
        <w:t>）。</w:t>
      </w:r>
      <w:r w:rsidRPr="00764A7B">
        <w:rPr>
          <w:rFonts w:ascii="Century" w:eastAsia="ＭＳ Ｐゴシック" w:hAnsi="Century" w:cs="ＭＳ Ｐゴシック"/>
          <w:noProof/>
          <w:color w:val="000000"/>
          <w:kern w:val="0"/>
          <w:szCs w:val="21"/>
          <w:bdr w:val="single" w:sz="2" w:space="0" w:color="000000" w:frame="1"/>
          <w14:ligatures w14:val="none"/>
        </w:rPr>
        <w:drawing>
          <wp:inline distT="0" distB="0" distL="0" distR="0" wp14:anchorId="66968C21" wp14:editId="388AC9B2">
            <wp:extent cx="4064000" cy="3949700"/>
            <wp:effectExtent l="0" t="0" r="0" b="0"/>
            <wp:docPr id="209942243"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64000" cy="3949700"/>
                    </a:xfrm>
                    <a:prstGeom prst="rect">
                      <a:avLst/>
                    </a:prstGeom>
                    <a:noFill/>
                    <a:ln>
                      <a:noFill/>
                    </a:ln>
                  </pic:spPr>
                </pic:pic>
              </a:graphicData>
            </a:graphic>
          </wp:inline>
        </w:drawing>
      </w:r>
    </w:p>
    <w:p w14:paraId="38FF5782"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Cambria Math" w:eastAsia="ＭＳ Ｐゴシック" w:hAnsi="Cambria Math" w:cs="Cambria Math"/>
          <w:color w:val="000000"/>
          <w:kern w:val="0"/>
          <w:sz w:val="22"/>
          <w:szCs w:val="22"/>
          <w14:ligatures w14:val="none"/>
        </w:rPr>
        <w:t>③</w:t>
      </w:r>
      <w:r w:rsidRPr="00764A7B">
        <w:rPr>
          <w:rFonts w:ascii="Arial" w:eastAsia="ＭＳ Ｐゴシック" w:hAnsi="Arial" w:cs="Arial"/>
          <w:color w:val="000000"/>
          <w:kern w:val="0"/>
          <w:sz w:val="22"/>
          <w:szCs w:val="22"/>
          <w14:ligatures w14:val="none"/>
        </w:rPr>
        <w:t xml:space="preserve"> </w:t>
      </w:r>
      <w:r w:rsidRPr="00764A7B">
        <w:rPr>
          <w:rFonts w:ascii="Arial" w:eastAsia="ＭＳ Ｐゴシック" w:hAnsi="Arial" w:cs="Arial"/>
          <w:color w:val="000000"/>
          <w:kern w:val="0"/>
          <w:sz w:val="22"/>
          <w:szCs w:val="22"/>
          <w14:ligatures w14:val="none"/>
        </w:rPr>
        <w:t>項目別の自己調整能力の変容</w:t>
      </w:r>
    </w:p>
    <w:p w14:paraId="36CCDAF0"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次に、プログラムが自己調整能力のどの側面に強く寄与したかを検討するため、全</w:t>
      </w:r>
      <w:r w:rsidRPr="00764A7B">
        <w:rPr>
          <w:rFonts w:ascii="Arial" w:eastAsia="ＭＳ Ｐゴシック" w:hAnsi="Arial" w:cs="Arial"/>
          <w:color w:val="000000"/>
          <w:kern w:val="0"/>
          <w:sz w:val="22"/>
          <w:szCs w:val="22"/>
          <w14:ligatures w14:val="none"/>
        </w:rPr>
        <w:t>7</w:t>
      </w:r>
      <w:r w:rsidRPr="00764A7B">
        <w:rPr>
          <w:rFonts w:ascii="Arial" w:eastAsia="ＭＳ Ｐゴシック" w:hAnsi="Arial" w:cs="Arial"/>
          <w:color w:val="000000"/>
          <w:kern w:val="0"/>
          <w:sz w:val="22"/>
          <w:szCs w:val="22"/>
          <w14:ligatures w14:val="none"/>
        </w:rPr>
        <w:t>項目のプレ・ポスト得点について項目別平均を算出し、</w:t>
      </w:r>
      <w:r w:rsidRPr="00764A7B">
        <w:rPr>
          <w:rFonts w:ascii="Arial" w:eastAsia="ＭＳ Ｐゴシック" w:hAnsi="Arial" w:cs="Arial"/>
          <w:color w:val="000000"/>
          <w:kern w:val="0"/>
          <w:sz w:val="22"/>
          <w:szCs w:val="22"/>
          <w14:ligatures w14:val="none"/>
        </w:rPr>
        <w:t>t</w:t>
      </w:r>
      <w:r w:rsidRPr="00764A7B">
        <w:rPr>
          <w:rFonts w:ascii="Arial" w:eastAsia="ＭＳ Ｐゴシック" w:hAnsi="Arial" w:cs="Arial"/>
          <w:color w:val="000000"/>
          <w:kern w:val="0"/>
          <w:sz w:val="22"/>
          <w:szCs w:val="22"/>
          <w14:ligatures w14:val="none"/>
        </w:rPr>
        <w:t>検定による比較を行った。</w:t>
      </w:r>
    </w:p>
    <w:p w14:paraId="6BF7F251"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クラス</w:t>
      </w:r>
      <w:r w:rsidRPr="00764A7B">
        <w:rPr>
          <w:rFonts w:ascii="Arial" w:eastAsia="ＭＳ Ｐゴシック" w:hAnsi="Arial" w:cs="Arial"/>
          <w:color w:val="000000"/>
          <w:kern w:val="0"/>
          <w:sz w:val="22"/>
          <w:szCs w:val="22"/>
          <w14:ligatures w14:val="none"/>
        </w:rPr>
        <w:t>A</w:t>
      </w:r>
      <w:r w:rsidRPr="00764A7B">
        <w:rPr>
          <w:rFonts w:ascii="Arial" w:eastAsia="ＭＳ Ｐゴシック" w:hAnsi="Arial" w:cs="Arial"/>
          <w:color w:val="000000"/>
          <w:kern w:val="0"/>
          <w:sz w:val="22"/>
          <w:szCs w:val="22"/>
          <w14:ligatures w14:val="none"/>
        </w:rPr>
        <w:t>・</w:t>
      </w:r>
      <w:r w:rsidRPr="00764A7B">
        <w:rPr>
          <w:rFonts w:ascii="Arial" w:eastAsia="ＭＳ Ｐゴシック" w:hAnsi="Arial" w:cs="Arial"/>
          <w:color w:val="000000"/>
          <w:kern w:val="0"/>
          <w:sz w:val="22"/>
          <w:szCs w:val="22"/>
          <w14:ligatures w14:val="none"/>
        </w:rPr>
        <w:t>B</w:t>
      </w:r>
      <w:r w:rsidRPr="00764A7B">
        <w:rPr>
          <w:rFonts w:ascii="Arial" w:eastAsia="ＭＳ Ｐゴシック" w:hAnsi="Arial" w:cs="Arial"/>
          <w:color w:val="000000"/>
          <w:kern w:val="0"/>
          <w:sz w:val="22"/>
          <w:szCs w:val="22"/>
          <w14:ligatures w14:val="none"/>
        </w:rPr>
        <w:t>を統合した結果、</w:t>
      </w:r>
      <w:r w:rsidRPr="00764A7B">
        <w:rPr>
          <w:rFonts w:ascii="Arial" w:eastAsia="ＭＳ Ｐゴシック" w:hAnsi="Arial" w:cs="Arial"/>
          <w:color w:val="000000"/>
          <w:kern w:val="0"/>
          <w:sz w:val="22"/>
          <w:szCs w:val="22"/>
          <w14:ligatures w14:val="none"/>
        </w:rPr>
        <w:t>Q1</w:t>
      </w:r>
      <w:r w:rsidRPr="00764A7B">
        <w:rPr>
          <w:rFonts w:ascii="Arial" w:eastAsia="ＭＳ Ｐゴシック" w:hAnsi="Arial" w:cs="Arial"/>
          <w:color w:val="000000"/>
          <w:kern w:val="0"/>
          <w:sz w:val="22"/>
          <w:szCs w:val="22"/>
          <w14:ligatures w14:val="none"/>
        </w:rPr>
        <w:t>〜</w:t>
      </w:r>
      <w:r w:rsidRPr="00764A7B">
        <w:rPr>
          <w:rFonts w:ascii="Arial" w:eastAsia="ＭＳ Ｐゴシック" w:hAnsi="Arial" w:cs="Arial"/>
          <w:color w:val="000000"/>
          <w:kern w:val="0"/>
          <w:sz w:val="22"/>
          <w:szCs w:val="22"/>
          <w14:ligatures w14:val="none"/>
        </w:rPr>
        <w:t>Q7</w:t>
      </w:r>
      <w:r w:rsidRPr="00764A7B">
        <w:rPr>
          <w:rFonts w:ascii="Arial" w:eastAsia="ＭＳ Ｐゴシック" w:hAnsi="Arial" w:cs="Arial"/>
          <w:color w:val="000000"/>
          <w:kern w:val="0"/>
          <w:sz w:val="22"/>
          <w:szCs w:val="22"/>
          <w14:ligatures w14:val="none"/>
        </w:rPr>
        <w:t>のすべての質問項目において、事後得点が事前得点を有意に上回った（いずれも</w:t>
      </w:r>
      <w:r w:rsidRPr="00764A7B">
        <w:rPr>
          <w:rFonts w:ascii="Arial" w:eastAsia="ＭＳ Ｐゴシック" w:hAnsi="Arial" w:cs="Arial"/>
          <w:color w:val="000000"/>
          <w:kern w:val="0"/>
          <w:sz w:val="22"/>
          <w:szCs w:val="22"/>
          <w14:ligatures w14:val="none"/>
        </w:rPr>
        <w:t xml:space="preserve"> p &lt; .001</w:t>
      </w:r>
      <w:r w:rsidRPr="00764A7B">
        <w:rPr>
          <w:rFonts w:ascii="Arial" w:eastAsia="ＭＳ Ｐゴシック" w:hAnsi="Arial" w:cs="Arial"/>
          <w:color w:val="000000"/>
          <w:kern w:val="0"/>
          <w:sz w:val="22"/>
          <w:szCs w:val="22"/>
          <w14:ligatures w14:val="none"/>
        </w:rPr>
        <w:t>）。特に伸び幅が大きかった項目は「</w:t>
      </w:r>
      <w:r w:rsidRPr="00764A7B">
        <w:rPr>
          <w:rFonts w:ascii="Arial" w:eastAsia="ＭＳ Ｐゴシック" w:hAnsi="Arial" w:cs="Arial"/>
          <w:color w:val="000000"/>
          <w:kern w:val="0"/>
          <w:sz w:val="22"/>
          <w:szCs w:val="22"/>
          <w14:ligatures w14:val="none"/>
        </w:rPr>
        <w:t>Q6</w:t>
      </w:r>
      <w:r w:rsidRPr="00764A7B">
        <w:rPr>
          <w:rFonts w:ascii="Arial" w:eastAsia="ＭＳ Ｐゴシック" w:hAnsi="Arial" w:cs="Arial"/>
          <w:color w:val="000000"/>
          <w:kern w:val="0"/>
          <w:sz w:val="22"/>
          <w:szCs w:val="22"/>
          <w14:ligatures w14:val="none"/>
        </w:rPr>
        <w:t>（動機付け調整方略）」（</w:t>
      </w:r>
      <w:r w:rsidRPr="00764A7B">
        <w:rPr>
          <w:rFonts w:ascii="Arial" w:eastAsia="ＭＳ Ｐゴシック" w:hAnsi="Arial" w:cs="Arial"/>
          <w:color w:val="000000"/>
          <w:kern w:val="0"/>
          <w:sz w:val="22"/>
          <w:szCs w:val="22"/>
          <w14:ligatures w14:val="none"/>
        </w:rPr>
        <w:t>2.08</w:t>
      </w:r>
      <w:r w:rsidRPr="00764A7B">
        <w:rPr>
          <w:rFonts w:ascii="Arial" w:eastAsia="ＭＳ Ｐゴシック" w:hAnsi="Arial" w:cs="Arial"/>
          <w:color w:val="000000"/>
          <w:kern w:val="0"/>
          <w:sz w:val="22"/>
          <w:szCs w:val="22"/>
          <w14:ligatures w14:val="none"/>
        </w:rPr>
        <w:t>点から</w:t>
      </w:r>
      <w:r w:rsidRPr="00764A7B">
        <w:rPr>
          <w:rFonts w:ascii="Arial" w:eastAsia="ＭＳ Ｐゴシック" w:hAnsi="Arial" w:cs="Arial"/>
          <w:color w:val="000000"/>
          <w:kern w:val="0"/>
          <w:sz w:val="22"/>
          <w:szCs w:val="22"/>
          <w14:ligatures w14:val="none"/>
        </w:rPr>
        <w:t>3.30</w:t>
      </w:r>
      <w:r w:rsidRPr="00764A7B">
        <w:rPr>
          <w:rFonts w:ascii="Arial" w:eastAsia="ＭＳ Ｐゴシック" w:hAnsi="Arial" w:cs="Arial"/>
          <w:color w:val="000000"/>
          <w:kern w:val="0"/>
          <w:sz w:val="22"/>
          <w:szCs w:val="22"/>
          <w14:ligatures w14:val="none"/>
        </w:rPr>
        <w:t>点へ、＋</w:t>
      </w:r>
      <w:r w:rsidRPr="00764A7B">
        <w:rPr>
          <w:rFonts w:ascii="Arial" w:eastAsia="ＭＳ Ｐゴシック" w:hAnsi="Arial" w:cs="Arial"/>
          <w:color w:val="000000"/>
          <w:kern w:val="0"/>
          <w:sz w:val="22"/>
          <w:szCs w:val="22"/>
          <w14:ligatures w14:val="none"/>
        </w:rPr>
        <w:t>1.22</w:t>
      </w:r>
      <w:r w:rsidRPr="00764A7B">
        <w:rPr>
          <w:rFonts w:ascii="Arial" w:eastAsia="ＭＳ Ｐゴシック" w:hAnsi="Arial" w:cs="Arial"/>
          <w:color w:val="000000"/>
          <w:kern w:val="0"/>
          <w:sz w:val="22"/>
          <w:szCs w:val="22"/>
          <w14:ligatures w14:val="none"/>
        </w:rPr>
        <w:t>点）および「</w:t>
      </w:r>
      <w:r w:rsidRPr="00764A7B">
        <w:rPr>
          <w:rFonts w:ascii="Arial" w:eastAsia="ＭＳ Ｐゴシック" w:hAnsi="Arial" w:cs="Arial"/>
          <w:color w:val="000000"/>
          <w:kern w:val="0"/>
          <w:sz w:val="22"/>
          <w:szCs w:val="22"/>
          <w14:ligatures w14:val="none"/>
        </w:rPr>
        <w:t>Q4</w:t>
      </w:r>
      <w:r w:rsidRPr="00764A7B">
        <w:rPr>
          <w:rFonts w:ascii="Arial" w:eastAsia="ＭＳ Ｐゴシック" w:hAnsi="Arial" w:cs="Arial"/>
          <w:color w:val="000000"/>
          <w:kern w:val="0"/>
          <w:sz w:val="22"/>
          <w:szCs w:val="22"/>
          <w14:ligatures w14:val="none"/>
        </w:rPr>
        <w:t>（感情調整方略）」（</w:t>
      </w:r>
      <w:r w:rsidRPr="00764A7B">
        <w:rPr>
          <w:rFonts w:ascii="Arial" w:eastAsia="ＭＳ Ｐゴシック" w:hAnsi="Arial" w:cs="Arial"/>
          <w:color w:val="000000"/>
          <w:kern w:val="0"/>
          <w:sz w:val="22"/>
          <w:szCs w:val="22"/>
          <w14:ligatures w14:val="none"/>
        </w:rPr>
        <w:t>1.90</w:t>
      </w:r>
      <w:r w:rsidRPr="00764A7B">
        <w:rPr>
          <w:rFonts w:ascii="Arial" w:eastAsia="ＭＳ Ｐゴシック" w:hAnsi="Arial" w:cs="Arial"/>
          <w:color w:val="000000"/>
          <w:kern w:val="0"/>
          <w:sz w:val="22"/>
          <w:szCs w:val="22"/>
          <w14:ligatures w14:val="none"/>
        </w:rPr>
        <w:t>点から</w:t>
      </w:r>
      <w:r w:rsidRPr="00764A7B">
        <w:rPr>
          <w:rFonts w:ascii="Arial" w:eastAsia="ＭＳ Ｐゴシック" w:hAnsi="Arial" w:cs="Arial"/>
          <w:color w:val="000000"/>
          <w:kern w:val="0"/>
          <w:sz w:val="22"/>
          <w:szCs w:val="22"/>
          <w14:ligatures w14:val="none"/>
        </w:rPr>
        <w:t>3.08</w:t>
      </w:r>
      <w:r w:rsidRPr="00764A7B">
        <w:rPr>
          <w:rFonts w:ascii="Arial" w:eastAsia="ＭＳ Ｐゴシック" w:hAnsi="Arial" w:cs="Arial"/>
          <w:color w:val="000000"/>
          <w:kern w:val="0"/>
          <w:sz w:val="22"/>
          <w:szCs w:val="22"/>
          <w14:ligatures w14:val="none"/>
        </w:rPr>
        <w:t>点へ、＋</w:t>
      </w:r>
      <w:r w:rsidRPr="00764A7B">
        <w:rPr>
          <w:rFonts w:ascii="Arial" w:eastAsia="ＭＳ Ｐゴシック" w:hAnsi="Arial" w:cs="Arial"/>
          <w:color w:val="000000"/>
          <w:kern w:val="0"/>
          <w:sz w:val="22"/>
          <w:szCs w:val="22"/>
          <w14:ligatures w14:val="none"/>
        </w:rPr>
        <w:t>1.18</w:t>
      </w:r>
      <w:r w:rsidRPr="00764A7B">
        <w:rPr>
          <w:rFonts w:ascii="Arial" w:eastAsia="ＭＳ Ｐゴシック" w:hAnsi="Arial" w:cs="Arial"/>
          <w:color w:val="000000"/>
          <w:kern w:val="0"/>
          <w:sz w:val="22"/>
          <w:szCs w:val="22"/>
          <w14:ligatures w14:val="none"/>
        </w:rPr>
        <w:t>点）であった（</w:t>
      </w:r>
      <w:r w:rsidRPr="00764A7B">
        <w:rPr>
          <w:rFonts w:ascii="Arial" w:eastAsia="ＭＳ Ｐゴシック" w:hAnsi="Arial" w:cs="Arial"/>
          <w:color w:val="000000"/>
          <w:kern w:val="0"/>
          <w:sz w:val="22"/>
          <w:szCs w:val="22"/>
          <w14:ligatures w14:val="none"/>
        </w:rPr>
        <w:t>Figure 4</w:t>
      </w:r>
      <w:r w:rsidRPr="00764A7B">
        <w:rPr>
          <w:rFonts w:ascii="Arial" w:eastAsia="ＭＳ Ｐゴシック" w:hAnsi="Arial" w:cs="Arial"/>
          <w:color w:val="000000"/>
          <w:kern w:val="0"/>
          <w:sz w:val="22"/>
          <w:szCs w:val="22"/>
          <w14:ligatures w14:val="none"/>
        </w:rPr>
        <w:t>）。</w:t>
      </w:r>
    </w:p>
    <w:p w14:paraId="2217F20E"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また、クラス別の項目ごとの変化（</w:t>
      </w:r>
      <w:r w:rsidRPr="00764A7B">
        <w:rPr>
          <w:rFonts w:ascii="Arial" w:eastAsia="ＭＳ Ｐゴシック" w:hAnsi="Arial" w:cs="Arial"/>
          <w:color w:val="000000"/>
          <w:kern w:val="0"/>
          <w:sz w:val="22"/>
          <w:szCs w:val="22"/>
          <w14:ligatures w14:val="none"/>
        </w:rPr>
        <w:t>Figure 5</w:t>
      </w:r>
      <w:r w:rsidRPr="00764A7B">
        <w:rPr>
          <w:rFonts w:ascii="Arial" w:eastAsia="ＭＳ Ｐゴシック" w:hAnsi="Arial" w:cs="Arial"/>
          <w:color w:val="000000"/>
          <w:kern w:val="0"/>
          <w:sz w:val="22"/>
          <w:szCs w:val="22"/>
          <w14:ligatures w14:val="none"/>
        </w:rPr>
        <w:t>、</w:t>
      </w:r>
      <w:r w:rsidRPr="00764A7B">
        <w:rPr>
          <w:rFonts w:ascii="Arial" w:eastAsia="ＭＳ Ｐゴシック" w:hAnsi="Arial" w:cs="Arial"/>
          <w:color w:val="000000"/>
          <w:kern w:val="0"/>
          <w:sz w:val="22"/>
          <w:szCs w:val="22"/>
          <w14:ligatures w14:val="none"/>
        </w:rPr>
        <w:t>Figure 6</w:t>
      </w:r>
      <w:r w:rsidRPr="00764A7B">
        <w:rPr>
          <w:rFonts w:ascii="Arial" w:eastAsia="ＭＳ Ｐゴシック" w:hAnsi="Arial" w:cs="Arial"/>
          <w:color w:val="000000"/>
          <w:kern w:val="0"/>
          <w:sz w:val="22"/>
          <w:szCs w:val="22"/>
          <w14:ligatures w14:val="none"/>
        </w:rPr>
        <w:t>）を見ても、クラス</w:t>
      </w:r>
      <w:r w:rsidRPr="00764A7B">
        <w:rPr>
          <w:rFonts w:ascii="Arial" w:eastAsia="ＭＳ Ｐゴシック" w:hAnsi="Arial" w:cs="Arial"/>
          <w:color w:val="000000"/>
          <w:kern w:val="0"/>
          <w:sz w:val="22"/>
          <w:szCs w:val="22"/>
          <w14:ligatures w14:val="none"/>
        </w:rPr>
        <w:t>A</w:t>
      </w:r>
      <w:r w:rsidRPr="00764A7B">
        <w:rPr>
          <w:rFonts w:ascii="Arial" w:eastAsia="ＭＳ Ｐゴシック" w:hAnsi="Arial" w:cs="Arial"/>
          <w:color w:val="000000"/>
          <w:kern w:val="0"/>
          <w:sz w:val="22"/>
          <w:szCs w:val="22"/>
          <w14:ligatures w14:val="none"/>
        </w:rPr>
        <w:t>、クラス</w:t>
      </w:r>
      <w:r w:rsidRPr="00764A7B">
        <w:rPr>
          <w:rFonts w:ascii="Arial" w:eastAsia="ＭＳ Ｐゴシック" w:hAnsi="Arial" w:cs="Arial"/>
          <w:color w:val="000000"/>
          <w:kern w:val="0"/>
          <w:sz w:val="22"/>
          <w:szCs w:val="22"/>
          <w14:ligatures w14:val="none"/>
        </w:rPr>
        <w:t>B</w:t>
      </w:r>
      <w:r w:rsidRPr="00764A7B">
        <w:rPr>
          <w:rFonts w:ascii="Arial" w:eastAsia="ＭＳ Ｐゴシック" w:hAnsi="Arial" w:cs="Arial"/>
          <w:color w:val="000000"/>
          <w:kern w:val="0"/>
          <w:sz w:val="22"/>
          <w:szCs w:val="22"/>
          <w14:ligatures w14:val="none"/>
        </w:rPr>
        <w:t>どちらにおいても全項目で統計的に有意な上昇（すべて</w:t>
      </w:r>
      <w:r w:rsidRPr="00764A7B">
        <w:rPr>
          <w:rFonts w:ascii="Arial" w:eastAsia="ＭＳ Ｐゴシック" w:hAnsi="Arial" w:cs="Arial"/>
          <w:color w:val="000000"/>
          <w:kern w:val="0"/>
          <w:sz w:val="22"/>
          <w:szCs w:val="22"/>
          <w14:ligatures w14:val="none"/>
        </w:rPr>
        <w:t>p &lt; .001</w:t>
      </w:r>
      <w:r w:rsidRPr="00764A7B">
        <w:rPr>
          <w:rFonts w:ascii="Arial" w:eastAsia="ＭＳ Ｐゴシック" w:hAnsi="Arial" w:cs="Arial"/>
          <w:color w:val="000000"/>
          <w:kern w:val="0"/>
          <w:sz w:val="22"/>
          <w:szCs w:val="22"/>
          <w14:ligatures w14:val="none"/>
        </w:rPr>
        <w:t>）が認められた。</w:t>
      </w:r>
      <w:r w:rsidRPr="00764A7B">
        <w:rPr>
          <w:rFonts w:ascii="Century" w:eastAsia="ＭＳ Ｐゴシック" w:hAnsi="Century" w:cs="ＭＳ Ｐゴシック"/>
          <w:noProof/>
          <w:color w:val="000000"/>
          <w:kern w:val="0"/>
          <w:szCs w:val="21"/>
          <w:bdr w:val="single" w:sz="2" w:space="0" w:color="000000" w:frame="1"/>
          <w14:ligatures w14:val="none"/>
        </w:rPr>
        <w:lastRenderedPageBreak/>
        <w:drawing>
          <wp:inline distT="0" distB="0" distL="0" distR="0" wp14:anchorId="3F68873C" wp14:editId="2818CCE9">
            <wp:extent cx="3937000" cy="4064000"/>
            <wp:effectExtent l="0" t="0" r="0" b="0"/>
            <wp:docPr id="1752061929"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37000" cy="4064000"/>
                    </a:xfrm>
                    <a:prstGeom prst="rect">
                      <a:avLst/>
                    </a:prstGeom>
                    <a:noFill/>
                    <a:ln>
                      <a:noFill/>
                    </a:ln>
                  </pic:spPr>
                </pic:pic>
              </a:graphicData>
            </a:graphic>
          </wp:inline>
        </w:drawing>
      </w:r>
      <w:r w:rsidRPr="00764A7B">
        <w:rPr>
          <w:rFonts w:ascii="Century" w:eastAsia="ＭＳ Ｐゴシック" w:hAnsi="Century" w:cs="ＭＳ Ｐゴシック"/>
          <w:noProof/>
          <w:color w:val="000000"/>
          <w:kern w:val="0"/>
          <w:szCs w:val="21"/>
          <w:bdr w:val="single" w:sz="2" w:space="0" w:color="000000" w:frame="1"/>
          <w14:ligatures w14:val="none"/>
        </w:rPr>
        <w:drawing>
          <wp:inline distT="0" distB="0" distL="0" distR="0" wp14:anchorId="5A79BE64" wp14:editId="0B89E191">
            <wp:extent cx="4064000" cy="3987800"/>
            <wp:effectExtent l="0" t="0" r="0" b="0"/>
            <wp:docPr id="1315006865"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64000" cy="3987800"/>
                    </a:xfrm>
                    <a:prstGeom prst="rect">
                      <a:avLst/>
                    </a:prstGeom>
                    <a:noFill/>
                    <a:ln>
                      <a:noFill/>
                    </a:ln>
                  </pic:spPr>
                </pic:pic>
              </a:graphicData>
            </a:graphic>
          </wp:inline>
        </w:drawing>
      </w:r>
    </w:p>
    <w:p w14:paraId="0BADDAD5"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Century" w:eastAsia="ＭＳ Ｐゴシック" w:hAnsi="Century" w:cs="ＭＳ Ｐゴシック"/>
          <w:noProof/>
          <w:color w:val="000000"/>
          <w:kern w:val="0"/>
          <w:szCs w:val="21"/>
          <w:bdr w:val="single" w:sz="2" w:space="0" w:color="000000" w:frame="1"/>
          <w14:ligatures w14:val="none"/>
        </w:rPr>
        <w:lastRenderedPageBreak/>
        <w:drawing>
          <wp:inline distT="0" distB="0" distL="0" distR="0" wp14:anchorId="439F25FB" wp14:editId="4B80F1C3">
            <wp:extent cx="3949700" cy="4064000"/>
            <wp:effectExtent l="0" t="0" r="0" b="0"/>
            <wp:docPr id="970873975"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949700" cy="4064000"/>
                    </a:xfrm>
                    <a:prstGeom prst="rect">
                      <a:avLst/>
                    </a:prstGeom>
                    <a:noFill/>
                    <a:ln>
                      <a:noFill/>
                    </a:ln>
                  </pic:spPr>
                </pic:pic>
              </a:graphicData>
            </a:graphic>
          </wp:inline>
        </w:drawing>
      </w:r>
    </w:p>
    <w:p w14:paraId="27B0C564"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Yu Mincho" w:eastAsia="Yu Mincho" w:hAnsi="Yu Mincho" w:cs="ＭＳ Ｐゴシック" w:hint="eastAsia"/>
          <w:b/>
          <w:bCs/>
          <w:color w:val="000000"/>
          <w:kern w:val="0"/>
          <w:sz w:val="22"/>
          <w:szCs w:val="22"/>
          <w14:ligatures w14:val="none"/>
        </w:rPr>
        <w:t>4.考察</w:t>
      </w:r>
    </w:p>
    <w:p w14:paraId="43916704"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本研究の目的は、小学校音楽科の授業において、係活動とジグソー法を組み合わせたカリキュラムマネジメントが児童の自己調整能力に及ぼす影響を検討することであった。分析の結果、プログラムの前後において児童の自己調整能力の合計得点は統計的に有意な上昇を示した。また、ベースラインの学力テストに基づく高学力群（クラス</w:t>
      </w:r>
      <w:r w:rsidRPr="00764A7B">
        <w:rPr>
          <w:rFonts w:ascii="Arial" w:eastAsia="ＭＳ Ｐゴシック" w:hAnsi="Arial" w:cs="Arial"/>
          <w:color w:val="000000"/>
          <w:kern w:val="0"/>
          <w:sz w:val="22"/>
          <w:szCs w:val="22"/>
          <w14:ligatures w14:val="none"/>
        </w:rPr>
        <w:t>A</w:t>
      </w:r>
      <w:r w:rsidRPr="00764A7B">
        <w:rPr>
          <w:rFonts w:ascii="Arial" w:eastAsia="ＭＳ Ｐゴシック" w:hAnsi="Arial" w:cs="Arial"/>
          <w:color w:val="000000"/>
          <w:kern w:val="0"/>
          <w:sz w:val="22"/>
          <w:szCs w:val="22"/>
          <w14:ligatures w14:val="none"/>
        </w:rPr>
        <w:t>）と中学力群（クラス</w:t>
      </w:r>
      <w:r w:rsidRPr="00764A7B">
        <w:rPr>
          <w:rFonts w:ascii="Arial" w:eastAsia="ＭＳ Ｐゴシック" w:hAnsi="Arial" w:cs="Arial"/>
          <w:color w:val="000000"/>
          <w:kern w:val="0"/>
          <w:sz w:val="22"/>
          <w:szCs w:val="22"/>
          <w14:ligatures w14:val="none"/>
        </w:rPr>
        <w:t>B</w:t>
      </w:r>
      <w:r w:rsidRPr="00764A7B">
        <w:rPr>
          <w:rFonts w:ascii="Arial" w:eastAsia="ＭＳ Ｐゴシック" w:hAnsi="Arial" w:cs="Arial"/>
          <w:color w:val="000000"/>
          <w:kern w:val="0"/>
          <w:sz w:val="22"/>
          <w:szCs w:val="22"/>
          <w14:ligatures w14:val="none"/>
        </w:rPr>
        <w:t>）の双方において、全</w:t>
      </w:r>
      <w:r w:rsidRPr="00764A7B">
        <w:rPr>
          <w:rFonts w:ascii="Arial" w:eastAsia="ＭＳ Ｐゴシック" w:hAnsi="Arial" w:cs="Arial"/>
          <w:color w:val="000000"/>
          <w:kern w:val="0"/>
          <w:sz w:val="22"/>
          <w:szCs w:val="22"/>
          <w14:ligatures w14:val="none"/>
        </w:rPr>
        <w:t>7</w:t>
      </w:r>
      <w:r w:rsidRPr="00764A7B">
        <w:rPr>
          <w:rFonts w:ascii="Arial" w:eastAsia="ＭＳ Ｐゴシック" w:hAnsi="Arial" w:cs="Arial"/>
          <w:color w:val="000000"/>
          <w:kern w:val="0"/>
          <w:sz w:val="22"/>
          <w:szCs w:val="22"/>
          <w14:ligatures w14:val="none"/>
        </w:rPr>
        <w:t>項目の得点が有意に向上した。特に、「動機付け調整方略（</w:t>
      </w:r>
      <w:r w:rsidRPr="00764A7B">
        <w:rPr>
          <w:rFonts w:ascii="Arial" w:eastAsia="ＭＳ Ｐゴシック" w:hAnsi="Arial" w:cs="Arial"/>
          <w:color w:val="000000"/>
          <w:kern w:val="0"/>
          <w:sz w:val="22"/>
          <w:szCs w:val="22"/>
          <w14:ligatures w14:val="none"/>
        </w:rPr>
        <w:t>Q6</w:t>
      </w:r>
      <w:r w:rsidRPr="00764A7B">
        <w:rPr>
          <w:rFonts w:ascii="Arial" w:eastAsia="ＭＳ Ｐゴシック" w:hAnsi="Arial" w:cs="Arial"/>
          <w:color w:val="000000"/>
          <w:kern w:val="0"/>
          <w:sz w:val="22"/>
          <w:szCs w:val="22"/>
          <w14:ligatures w14:val="none"/>
        </w:rPr>
        <w:t>）」および「感情調整方略（</w:t>
      </w:r>
      <w:r w:rsidRPr="00764A7B">
        <w:rPr>
          <w:rFonts w:ascii="Arial" w:eastAsia="ＭＳ Ｐゴシック" w:hAnsi="Arial" w:cs="Arial"/>
          <w:color w:val="000000"/>
          <w:kern w:val="0"/>
          <w:sz w:val="22"/>
          <w:szCs w:val="22"/>
          <w14:ligatures w14:val="none"/>
        </w:rPr>
        <w:t>Q4</w:t>
      </w:r>
      <w:r w:rsidRPr="00764A7B">
        <w:rPr>
          <w:rFonts w:ascii="Arial" w:eastAsia="ＭＳ Ｐゴシック" w:hAnsi="Arial" w:cs="Arial"/>
          <w:color w:val="000000"/>
          <w:kern w:val="0"/>
          <w:sz w:val="22"/>
          <w:szCs w:val="22"/>
          <w14:ligatures w14:val="none"/>
        </w:rPr>
        <w:t>）」において顕著な伸長が確認され、本指導モデルが児童の自己統制を促す上で極めて有効に機能したことが示された。</w:t>
      </w:r>
    </w:p>
    <w:p w14:paraId="3C29EE8D"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動機付け調整方略と感情調整方略が特に大きく向上した背景には、係活動による役割責任の付与に加え、授業内に組み込まれた多様な動機づけ支援が複合的に作用したと考えられる。社会的認知理論において、学習者が自らの行動成果をモニタリングし、それが自己効力感の向上や動機づけの維持に繋がることが指摘されている</w:t>
      </w:r>
      <w:r w:rsidRPr="00764A7B">
        <w:rPr>
          <w:rFonts w:ascii="Arial" w:eastAsia="ＭＳ Ｐゴシック" w:hAnsi="Arial" w:cs="Arial"/>
          <w:color w:val="000000"/>
          <w:kern w:val="0"/>
          <w:sz w:val="22"/>
          <w:szCs w:val="22"/>
          <w:vertAlign w:val="superscript"/>
          <w14:ligatures w14:val="none"/>
        </w:rPr>
        <w:t>(2)</w:t>
      </w:r>
      <w:r w:rsidRPr="00764A7B">
        <w:rPr>
          <w:rFonts w:ascii="Arial" w:eastAsia="ＭＳ Ｐゴシック" w:hAnsi="Arial" w:cs="Arial"/>
          <w:color w:val="000000"/>
          <w:kern w:val="0"/>
          <w:sz w:val="22"/>
          <w:szCs w:val="22"/>
          <w14:ligatures w14:val="none"/>
        </w:rPr>
        <w:t>。本実践においては、授業の各所に組み込まれたシールによる達成の可視化や録音を用いた自己評価活動が、児童一人ひとりに小さな成功体験を積み重ねさせ、授業への意欲や集中を保とうとする態度への変容を促した。さらに、「ハッピーレター制度」を介した他者からの肯定的なピア評価や相互承認は、学習者の心理的安全性を高め、学習上の不安（感情調整）を強力に低減させると同時に自己効力感を有意に向上させることが実証されている</w:t>
      </w:r>
      <w:r w:rsidRPr="00764A7B">
        <w:rPr>
          <w:rFonts w:ascii="Arial" w:eastAsia="ＭＳ Ｐゴシック" w:hAnsi="Arial" w:cs="Arial"/>
          <w:color w:val="000000"/>
          <w:kern w:val="0"/>
          <w:sz w:val="22"/>
          <w:szCs w:val="22"/>
          <w:vertAlign w:val="superscript"/>
          <w14:ligatures w14:val="none"/>
        </w:rPr>
        <w:t>(8)</w:t>
      </w:r>
      <w:r w:rsidRPr="00764A7B">
        <w:rPr>
          <w:rFonts w:ascii="Arial" w:eastAsia="ＭＳ Ｐゴシック" w:hAnsi="Arial" w:cs="Arial"/>
          <w:color w:val="000000"/>
          <w:kern w:val="0"/>
          <w:sz w:val="22"/>
          <w:szCs w:val="22"/>
          <w14:ligatures w14:val="none"/>
        </w:rPr>
        <w:t>。エキスパート活動で得た専門性を他者</w:t>
      </w:r>
      <w:r w:rsidRPr="00764A7B">
        <w:rPr>
          <w:rFonts w:ascii="Arial" w:eastAsia="ＭＳ Ｐゴシック" w:hAnsi="Arial" w:cs="Arial"/>
          <w:color w:val="000000"/>
          <w:kern w:val="0"/>
          <w:sz w:val="22"/>
          <w:szCs w:val="22"/>
          <w14:ligatures w14:val="none"/>
        </w:rPr>
        <w:lastRenderedPageBreak/>
        <w:t>に教えることで自己効力感を高め、これらの仕組みが複合的に機能したことが、退屈しがちな場面でも集中を維持する力（動機づけ調整）の獲得に効果的であったと解釈できる。</w:t>
      </w:r>
    </w:p>
    <w:p w14:paraId="2FB178DB"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さらに、本プログラムがベースラインの学力（楽典知識）の高低に関わらず普遍的な効果を示した理由は、ジグソー法が持つ「学級経営（社会的側面）」と「知識の再編成（認知的側面）」の二重構造にあるといえる。河村・武蔵（</w:t>
      </w:r>
      <w:r w:rsidRPr="00764A7B">
        <w:rPr>
          <w:rFonts w:ascii="Arial" w:eastAsia="ＭＳ Ｐゴシック" w:hAnsi="Arial" w:cs="Arial"/>
          <w:color w:val="000000"/>
          <w:kern w:val="0"/>
          <w:sz w:val="22"/>
          <w:szCs w:val="22"/>
          <w14:ligatures w14:val="none"/>
        </w:rPr>
        <w:t>2016</w:t>
      </w:r>
      <w:r w:rsidRPr="00764A7B">
        <w:rPr>
          <w:rFonts w:ascii="Arial" w:eastAsia="ＭＳ Ｐゴシック" w:hAnsi="Arial" w:cs="Arial"/>
          <w:color w:val="000000"/>
          <w:kern w:val="0"/>
          <w:sz w:val="22"/>
          <w:szCs w:val="22"/>
          <w14:ligatures w14:val="none"/>
        </w:rPr>
        <w:t>）は、アクティブラーニング型授業が成立する前提として「ルールの共有」と「親和的な人間関係」の確立を挙げており</w:t>
      </w:r>
      <w:r w:rsidRPr="00764A7B">
        <w:rPr>
          <w:rFonts w:ascii="Arial" w:eastAsia="ＭＳ Ｐゴシック" w:hAnsi="Arial" w:cs="Arial"/>
          <w:color w:val="000000"/>
          <w:kern w:val="0"/>
          <w:sz w:val="22"/>
          <w:szCs w:val="22"/>
          <w:vertAlign w:val="superscript"/>
          <w14:ligatures w14:val="none"/>
        </w:rPr>
        <w:t>(9)</w:t>
      </w:r>
      <w:r w:rsidRPr="00764A7B">
        <w:rPr>
          <w:rFonts w:ascii="Arial" w:eastAsia="ＭＳ Ｐゴシック" w:hAnsi="Arial" w:cs="Arial"/>
          <w:color w:val="000000"/>
          <w:kern w:val="0"/>
          <w:sz w:val="22"/>
          <w:szCs w:val="22"/>
          <w14:ligatures w14:val="none"/>
        </w:rPr>
        <w:t>、役割分担を伴う協同学習はこれらを同時に強化し得る。今回の実践では、係活動を通じて各児童が役割を担い、その内容をグループ内で再教授する経験を重ねることで、学級内における協同的な雰囲気が醸成され、社会的側面の強化が図られた。一方、認知的側面について尼子ら（</w:t>
      </w:r>
      <w:r w:rsidRPr="00764A7B">
        <w:rPr>
          <w:rFonts w:ascii="Arial" w:eastAsia="ＭＳ Ｐゴシック" w:hAnsi="Arial" w:cs="Arial"/>
          <w:color w:val="000000"/>
          <w:kern w:val="0"/>
          <w:sz w:val="22"/>
          <w:szCs w:val="22"/>
          <w14:ligatures w14:val="none"/>
        </w:rPr>
        <w:t>2023</w:t>
      </w:r>
      <w:r w:rsidRPr="00764A7B">
        <w:rPr>
          <w:rFonts w:ascii="Arial" w:eastAsia="ＭＳ Ｐゴシック" w:hAnsi="Arial" w:cs="Arial"/>
          <w:color w:val="000000"/>
          <w:kern w:val="0"/>
          <w:sz w:val="22"/>
          <w:szCs w:val="22"/>
          <w14:ligatures w14:val="none"/>
        </w:rPr>
        <w:t>）は、知識構成型ジグソー法が「説明責任」を内在化させることで、断片的知識の共有にとどまらない認知的再構成を促すことを示している</w:t>
      </w:r>
      <w:r w:rsidRPr="00764A7B">
        <w:rPr>
          <w:rFonts w:ascii="Arial" w:eastAsia="ＭＳ Ｐゴシック" w:hAnsi="Arial" w:cs="Arial"/>
          <w:color w:val="000000"/>
          <w:kern w:val="0"/>
          <w:sz w:val="22"/>
          <w:szCs w:val="22"/>
          <w:vertAlign w:val="superscript"/>
          <w14:ligatures w14:val="none"/>
        </w:rPr>
        <w:t>(10)</w:t>
      </w:r>
      <w:r w:rsidRPr="00764A7B">
        <w:rPr>
          <w:rFonts w:ascii="Arial" w:eastAsia="ＭＳ Ｐゴシック" w:hAnsi="Arial" w:cs="Arial"/>
          <w:color w:val="000000"/>
          <w:kern w:val="0"/>
          <w:sz w:val="22"/>
          <w:szCs w:val="22"/>
          <w14:ligatures w14:val="none"/>
        </w:rPr>
        <w:t>。本実践においても、エキスパートグループとホームグループを往還する構造によって、児童は楽譜情報を単なる表面的な読み取りにとどまらず、意味のあるまとまりとして概念的に捉え直しながら他者に伝える場面が見られ、深い認知的再構成が促進された。これにより、学力的な基礎知識にばらつきがあっても、それぞれの役割を果たす過程で自己調整能力が底上げされたと考えられる。</w:t>
      </w:r>
    </w:p>
    <w:p w14:paraId="46763709"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これらの知見は、実技や表現活動を中心とする音楽科の集団指導において、カリキュラム内に個別の目標設定と自己調整の機会を構造的に組み込むことの教育的意義を提示している。国内の自己調整学習研究は特定の認知的な教科に偏る傾向があったが</w:t>
      </w:r>
      <w:r w:rsidRPr="00764A7B">
        <w:rPr>
          <w:rFonts w:ascii="Arial" w:eastAsia="ＭＳ Ｐゴシック" w:hAnsi="Arial" w:cs="Arial"/>
          <w:color w:val="000000"/>
          <w:kern w:val="0"/>
          <w:sz w:val="22"/>
          <w:szCs w:val="22"/>
          <w:vertAlign w:val="superscript"/>
          <w14:ligatures w14:val="none"/>
        </w:rPr>
        <w:t>(4)</w:t>
      </w:r>
      <w:r w:rsidRPr="00764A7B">
        <w:rPr>
          <w:rFonts w:ascii="Arial" w:eastAsia="ＭＳ Ｐゴシック" w:hAnsi="Arial" w:cs="Arial"/>
          <w:color w:val="000000"/>
          <w:kern w:val="0"/>
          <w:sz w:val="22"/>
          <w:szCs w:val="22"/>
          <w14:ligatures w14:val="none"/>
        </w:rPr>
        <w:t>、係活動と協同学習を統合した本モデルは、音楽科においてもメタ認知・動機づけ・学習方略を循環させる触媒として機能しうる。また、このような協同学習を通じた社会的・情動的スキルの育成は、児童の生涯にわたる主体的な学びの基盤を形成するという観点からも重要である。</w:t>
      </w:r>
    </w:p>
    <w:p w14:paraId="402A2711"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ただし、本研究にはいくつかの限界が存在する。第一に、本研究は統制群（コントロールグループ）を設けていない単一群の前後比較デザインであるため、得られた効果が本プログラムのみに起因するかの因果的推論には慎重を要する。第二に、介入期間が</w:t>
      </w:r>
      <w:r w:rsidRPr="00764A7B">
        <w:rPr>
          <w:rFonts w:ascii="Arial" w:eastAsia="ＭＳ Ｐゴシック" w:hAnsi="Arial" w:cs="Arial"/>
          <w:color w:val="000000"/>
          <w:kern w:val="0"/>
          <w:sz w:val="22"/>
          <w:szCs w:val="22"/>
          <w14:ligatures w14:val="none"/>
        </w:rPr>
        <w:t>1</w:t>
      </w:r>
      <w:r w:rsidRPr="00764A7B">
        <w:rPr>
          <w:rFonts w:ascii="Arial" w:eastAsia="ＭＳ Ｐゴシック" w:hAnsi="Arial" w:cs="Arial"/>
          <w:color w:val="000000"/>
          <w:kern w:val="0"/>
          <w:sz w:val="22"/>
          <w:szCs w:val="22"/>
          <w14:ligatures w14:val="none"/>
        </w:rPr>
        <w:t>年間（測定はプレ・ポストの</w:t>
      </w:r>
      <w:r w:rsidRPr="00764A7B">
        <w:rPr>
          <w:rFonts w:ascii="Arial" w:eastAsia="ＭＳ Ｐゴシック" w:hAnsi="Arial" w:cs="Arial"/>
          <w:color w:val="000000"/>
          <w:kern w:val="0"/>
          <w:sz w:val="22"/>
          <w:szCs w:val="22"/>
          <w14:ligatures w14:val="none"/>
        </w:rPr>
        <w:t>2</w:t>
      </w:r>
      <w:r w:rsidRPr="00764A7B">
        <w:rPr>
          <w:rFonts w:ascii="Arial" w:eastAsia="ＭＳ Ｐゴシック" w:hAnsi="Arial" w:cs="Arial"/>
          <w:color w:val="000000"/>
          <w:kern w:val="0"/>
          <w:sz w:val="22"/>
          <w:szCs w:val="22"/>
          <w14:ligatures w14:val="none"/>
        </w:rPr>
        <w:t>時点）であり、自己調整能力を測定する尺度が</w:t>
      </w:r>
      <w:r w:rsidRPr="00764A7B">
        <w:rPr>
          <w:rFonts w:ascii="Arial" w:eastAsia="ＭＳ Ｐゴシック" w:hAnsi="Arial" w:cs="Arial"/>
          <w:color w:val="000000"/>
          <w:kern w:val="0"/>
          <w:sz w:val="22"/>
          <w:szCs w:val="22"/>
          <w14:ligatures w14:val="none"/>
        </w:rPr>
        <w:t>7</w:t>
      </w:r>
      <w:r w:rsidRPr="00764A7B">
        <w:rPr>
          <w:rFonts w:ascii="Arial" w:eastAsia="ＭＳ Ｐゴシック" w:hAnsi="Arial" w:cs="Arial"/>
          <w:color w:val="000000"/>
          <w:kern w:val="0"/>
          <w:sz w:val="22"/>
          <w:szCs w:val="22"/>
          <w14:ligatures w14:val="none"/>
        </w:rPr>
        <w:t>項目に限定されていた点である。今後は、対照群を設けた比較検証や、学習プロセスの質的な変容を捉える多面的なデータ収集を行い、指導モデルの精緻化を図ることが課題である。</w:t>
      </w:r>
    </w:p>
    <w:p w14:paraId="2C298600"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Yu Mincho" w:eastAsia="Yu Mincho" w:hAnsi="Yu Mincho" w:cs="ＭＳ Ｐゴシック" w:hint="eastAsia"/>
          <w:b/>
          <w:bCs/>
          <w:color w:val="000000"/>
          <w:kern w:val="0"/>
          <w:sz w:val="22"/>
          <w:szCs w:val="22"/>
          <w14:ligatures w14:val="none"/>
        </w:rPr>
        <w:t>5.結論</w:t>
      </w:r>
    </w:p>
    <w:p w14:paraId="50068B23"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本研究は、小学校</w:t>
      </w:r>
      <w:r w:rsidRPr="00764A7B">
        <w:rPr>
          <w:rFonts w:ascii="Arial" w:eastAsia="ＭＳ Ｐゴシック" w:hAnsi="Arial" w:cs="Arial"/>
          <w:color w:val="000000"/>
          <w:kern w:val="0"/>
          <w:sz w:val="22"/>
          <w:szCs w:val="22"/>
          <w14:ligatures w14:val="none"/>
        </w:rPr>
        <w:t>4</w:t>
      </w:r>
      <w:r w:rsidRPr="00764A7B">
        <w:rPr>
          <w:rFonts w:ascii="Arial" w:eastAsia="ＭＳ Ｐゴシック" w:hAnsi="Arial" w:cs="Arial"/>
          <w:color w:val="000000"/>
          <w:kern w:val="0"/>
          <w:sz w:val="22"/>
          <w:szCs w:val="22"/>
          <w14:ligatures w14:val="none"/>
        </w:rPr>
        <w:t>年生の音楽科授業において、自己調整能力の育成を目指す「山田モデル（係活動を導入したジグソー法）」を提案し、その有効性を実証した。</w:t>
      </w:r>
      <w:r w:rsidRPr="00764A7B">
        <w:rPr>
          <w:rFonts w:ascii="Arial" w:eastAsia="ＭＳ Ｐゴシック" w:hAnsi="Arial" w:cs="Arial"/>
          <w:color w:val="000000"/>
          <w:kern w:val="0"/>
          <w:sz w:val="22"/>
          <w:szCs w:val="22"/>
          <w14:ligatures w14:val="none"/>
        </w:rPr>
        <w:t>1</w:t>
      </w:r>
      <w:r w:rsidRPr="00764A7B">
        <w:rPr>
          <w:rFonts w:ascii="Arial" w:eastAsia="ＭＳ Ｐゴシック" w:hAnsi="Arial" w:cs="Arial"/>
          <w:color w:val="000000"/>
          <w:kern w:val="0"/>
          <w:sz w:val="22"/>
          <w:szCs w:val="22"/>
          <w14:ligatures w14:val="none"/>
        </w:rPr>
        <w:t>年間のプログラムを通じた検証の結果、事前の学力水準（高学力群・中学力群）に関わらず、児童全体の自己調整能力が統計的に有意に向上した。特に「動機付け調整方略」および「感情調整方略」の伸長が顕著であった。この成果は、本モデルが持つ、学級規範と親和的関係を高める「社会的機能」と、楽譜情報を概念的に再構成させる「認知的機能」の二重構造に起因する。加えて、係活動を通じた説明責任やハッピーレター制度による相互承認、シール等を用いた達成の可</w:t>
      </w:r>
      <w:r w:rsidRPr="00764A7B">
        <w:rPr>
          <w:rFonts w:ascii="Arial" w:eastAsia="ＭＳ Ｐゴシック" w:hAnsi="Arial" w:cs="Arial"/>
          <w:color w:val="000000"/>
          <w:kern w:val="0"/>
          <w:sz w:val="22"/>
          <w:szCs w:val="22"/>
          <w14:ligatures w14:val="none"/>
        </w:rPr>
        <w:lastRenderedPageBreak/>
        <w:t>視化が、児童の心理的安全性を担保し、学習への自己効力感と動機づけを強力に支えたことが確認された。</w:t>
      </w:r>
      <w:r w:rsidRPr="00764A7B">
        <w:rPr>
          <w:rFonts w:ascii="Arial" w:eastAsia="ＭＳ Ｐゴシック" w:hAnsi="Arial" w:cs="Arial"/>
          <w:color w:val="000000"/>
          <w:kern w:val="0"/>
          <w:sz w:val="22"/>
          <w:szCs w:val="22"/>
          <w14:ligatures w14:val="none"/>
        </w:rPr>
        <w:t xml:space="preserve">  </w:t>
      </w:r>
    </w:p>
    <w:p w14:paraId="26148F17"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Arial" w:eastAsia="ＭＳ Ｐゴシック" w:hAnsi="Arial" w:cs="Arial"/>
          <w:color w:val="000000"/>
          <w:kern w:val="0"/>
          <w:sz w:val="22"/>
          <w:szCs w:val="22"/>
          <w14:ligatures w14:val="none"/>
        </w:rPr>
        <w:t> </w:t>
      </w:r>
      <w:r w:rsidRPr="00764A7B">
        <w:rPr>
          <w:rFonts w:ascii="Arial" w:eastAsia="ＭＳ Ｐゴシック" w:hAnsi="Arial" w:cs="Arial"/>
          <w:color w:val="000000"/>
          <w:kern w:val="0"/>
          <w:sz w:val="22"/>
          <w:szCs w:val="22"/>
          <w14:ligatures w14:val="none"/>
        </w:rPr>
        <w:t>これらの結果から、実技や表現活動を伴う音楽科の集団指導においても、カリキュラム内に個別の目標設定と自己選択の機会を構造的に組み込むことで、生涯にわたる主体的な学びの基盤となる自己調整能力を効果的に育成できることが示唆された。今後は、メタ認知能力に特化した評価指標の拡充や対照群を設けた比較検証を行い、本指導モデルをさらに精緻化していくことが求められる。</w:t>
      </w:r>
    </w:p>
    <w:p w14:paraId="7DC222DE" w14:textId="77777777" w:rsidR="00764A7B" w:rsidRPr="00764A7B" w:rsidRDefault="00764A7B" w:rsidP="00764A7B">
      <w:pPr>
        <w:widowControl/>
        <w:shd w:val="clear" w:color="auto" w:fill="FFFFFF"/>
        <w:rPr>
          <w:rFonts w:ascii="Century" w:eastAsia="ＭＳ Ｐゴシック" w:hAnsi="Century" w:cs="ＭＳ Ｐゴシック"/>
          <w:color w:val="000000"/>
          <w:kern w:val="0"/>
          <w:szCs w:val="21"/>
          <w14:ligatures w14:val="none"/>
        </w:rPr>
      </w:pPr>
      <w:r w:rsidRPr="00764A7B">
        <w:rPr>
          <w:rFonts w:ascii="Yu Mincho" w:eastAsia="Yu Mincho" w:hAnsi="Yu Mincho" w:cs="ＭＳ Ｐゴシック" w:hint="eastAsia"/>
          <w:b/>
          <w:bCs/>
          <w:color w:val="000000"/>
          <w:kern w:val="0"/>
          <w:sz w:val="22"/>
          <w:szCs w:val="22"/>
          <w14:ligatures w14:val="none"/>
        </w:rPr>
        <w:t>6.引用文献</w:t>
      </w:r>
    </w:p>
    <w:p w14:paraId="1BC0A3B9" w14:textId="77777777" w:rsidR="00764A7B" w:rsidRPr="00764A7B" w:rsidRDefault="00764A7B" w:rsidP="00764A7B">
      <w:pPr>
        <w:widowControl/>
        <w:numPr>
          <w:ilvl w:val="0"/>
          <w:numId w:val="1"/>
        </w:numPr>
        <w:shd w:val="clear" w:color="auto" w:fill="FFFFFF"/>
        <w:ind w:left="1440"/>
        <w:rPr>
          <w:rFonts w:ascii="Century" w:eastAsia="ＭＳ Ｐゴシック" w:hAnsi="Century" w:cs="ＭＳ Ｐゴシック"/>
          <w:color w:val="000000"/>
          <w:kern w:val="0"/>
          <w:szCs w:val="21"/>
          <w14:ligatures w14:val="none"/>
        </w:rPr>
      </w:pPr>
      <w:r w:rsidRPr="00764A7B">
        <w:rPr>
          <w:rFonts w:ascii="Yu Mincho" w:eastAsia="Yu Mincho" w:hAnsi="Yu Mincho" w:cs="ＭＳ Ｐゴシック" w:hint="eastAsia"/>
          <w:color w:val="000000"/>
          <w:kern w:val="0"/>
          <w:sz w:val="22"/>
          <w:szCs w:val="22"/>
          <w14:ligatures w14:val="none"/>
        </w:rPr>
        <w:t xml:space="preserve">Zimmerman, B. J. and </w:t>
      </w:r>
      <w:proofErr w:type="spellStart"/>
      <w:r w:rsidRPr="00764A7B">
        <w:rPr>
          <w:rFonts w:ascii="Yu Mincho" w:eastAsia="Yu Mincho" w:hAnsi="Yu Mincho" w:cs="ＭＳ Ｐゴシック" w:hint="eastAsia"/>
          <w:color w:val="000000"/>
          <w:kern w:val="0"/>
          <w:sz w:val="22"/>
          <w:szCs w:val="22"/>
          <w14:ligatures w14:val="none"/>
        </w:rPr>
        <w:t>Schunk</w:t>
      </w:r>
      <w:proofErr w:type="spellEnd"/>
      <w:r w:rsidRPr="00764A7B">
        <w:rPr>
          <w:rFonts w:ascii="Yu Mincho" w:eastAsia="Yu Mincho" w:hAnsi="Yu Mincho" w:cs="ＭＳ Ｐゴシック" w:hint="eastAsia"/>
          <w:color w:val="000000"/>
          <w:kern w:val="0"/>
          <w:sz w:val="22"/>
          <w:szCs w:val="22"/>
          <w14:ligatures w14:val="none"/>
        </w:rPr>
        <w:t>, D. H. （Eds.）（1989）Self-Regulated Learning and Academic Achievement: Theory, Research, and Practice. Springer.</w:t>
      </w:r>
    </w:p>
    <w:p w14:paraId="4855BA76" w14:textId="77777777" w:rsidR="00764A7B" w:rsidRPr="00764A7B" w:rsidRDefault="00764A7B" w:rsidP="00764A7B">
      <w:pPr>
        <w:widowControl/>
        <w:numPr>
          <w:ilvl w:val="0"/>
          <w:numId w:val="1"/>
        </w:numPr>
        <w:shd w:val="clear" w:color="auto" w:fill="FFFFFF"/>
        <w:ind w:left="1440"/>
        <w:rPr>
          <w:rFonts w:ascii="Century" w:eastAsia="ＭＳ Ｐゴシック" w:hAnsi="Century" w:cs="ＭＳ Ｐゴシック"/>
          <w:color w:val="000000"/>
          <w:kern w:val="0"/>
          <w:szCs w:val="21"/>
          <w14:ligatures w14:val="none"/>
        </w:rPr>
      </w:pPr>
      <w:r w:rsidRPr="00764A7B">
        <w:rPr>
          <w:rFonts w:ascii="Yu Mincho" w:eastAsia="Yu Mincho" w:hAnsi="Yu Mincho" w:cs="ＭＳ Ｐゴシック" w:hint="eastAsia"/>
          <w:color w:val="000000"/>
          <w:kern w:val="0"/>
          <w:sz w:val="22"/>
          <w:szCs w:val="22"/>
          <w14:ligatures w14:val="none"/>
        </w:rPr>
        <w:t xml:space="preserve">Zimmerman, B. J. and </w:t>
      </w:r>
      <w:proofErr w:type="spellStart"/>
      <w:r w:rsidRPr="00764A7B">
        <w:rPr>
          <w:rFonts w:ascii="Yu Mincho" w:eastAsia="Yu Mincho" w:hAnsi="Yu Mincho" w:cs="ＭＳ Ｐゴシック" w:hint="eastAsia"/>
          <w:color w:val="000000"/>
          <w:kern w:val="0"/>
          <w:sz w:val="22"/>
          <w:szCs w:val="22"/>
          <w14:ligatures w14:val="none"/>
        </w:rPr>
        <w:t>Schunk</w:t>
      </w:r>
      <w:proofErr w:type="spellEnd"/>
      <w:r w:rsidRPr="00764A7B">
        <w:rPr>
          <w:rFonts w:ascii="Yu Mincho" w:eastAsia="Yu Mincho" w:hAnsi="Yu Mincho" w:cs="ＭＳ Ｐゴシック" w:hint="eastAsia"/>
          <w:color w:val="000000"/>
          <w:kern w:val="0"/>
          <w:sz w:val="22"/>
          <w:szCs w:val="22"/>
          <w14:ligatures w14:val="none"/>
        </w:rPr>
        <w:t>, D. H. （Eds.）（2001）Self-Regulated Learning and Academic Achievement: Theoretical Perspectives （2nd ed.）. Routledge.</w:t>
      </w:r>
    </w:p>
    <w:p w14:paraId="1BDF1AEF" w14:textId="77777777" w:rsidR="00764A7B" w:rsidRPr="00764A7B" w:rsidRDefault="00764A7B" w:rsidP="00764A7B">
      <w:pPr>
        <w:widowControl/>
        <w:numPr>
          <w:ilvl w:val="0"/>
          <w:numId w:val="1"/>
        </w:numPr>
        <w:shd w:val="clear" w:color="auto" w:fill="FFFFFF"/>
        <w:ind w:left="1440"/>
        <w:rPr>
          <w:rFonts w:ascii="Century" w:eastAsia="ＭＳ Ｐゴシック" w:hAnsi="Century" w:cs="ＭＳ Ｐゴシック"/>
          <w:color w:val="000000"/>
          <w:kern w:val="0"/>
          <w:szCs w:val="21"/>
          <w14:ligatures w14:val="none"/>
        </w:rPr>
      </w:pPr>
      <w:proofErr w:type="spellStart"/>
      <w:r w:rsidRPr="00764A7B">
        <w:rPr>
          <w:rFonts w:ascii="Yu Mincho" w:eastAsia="Yu Mincho" w:hAnsi="Yu Mincho" w:cs="ＭＳ Ｐゴシック" w:hint="eastAsia"/>
          <w:color w:val="000000"/>
          <w:kern w:val="0"/>
          <w:sz w:val="22"/>
          <w:szCs w:val="22"/>
          <w14:ligatures w14:val="none"/>
        </w:rPr>
        <w:t>Pintrich</w:t>
      </w:r>
      <w:proofErr w:type="spellEnd"/>
      <w:r w:rsidRPr="00764A7B">
        <w:rPr>
          <w:rFonts w:ascii="Yu Mincho" w:eastAsia="Yu Mincho" w:hAnsi="Yu Mincho" w:cs="ＭＳ Ｐゴシック" w:hint="eastAsia"/>
          <w:color w:val="000000"/>
          <w:kern w:val="0"/>
          <w:sz w:val="22"/>
          <w:szCs w:val="22"/>
          <w14:ligatures w14:val="none"/>
        </w:rPr>
        <w:t xml:space="preserve">, P. R. （2000） The role of goal orientation in self-regulated learning. In </w:t>
      </w:r>
      <w:proofErr w:type="spellStart"/>
      <w:r w:rsidRPr="00764A7B">
        <w:rPr>
          <w:rFonts w:ascii="Yu Mincho" w:eastAsia="Yu Mincho" w:hAnsi="Yu Mincho" w:cs="ＭＳ Ｐゴシック" w:hint="eastAsia"/>
          <w:color w:val="000000"/>
          <w:kern w:val="0"/>
          <w:sz w:val="22"/>
          <w:szCs w:val="22"/>
          <w14:ligatures w14:val="none"/>
        </w:rPr>
        <w:t>Boekaerts</w:t>
      </w:r>
      <w:proofErr w:type="spellEnd"/>
      <w:r w:rsidRPr="00764A7B">
        <w:rPr>
          <w:rFonts w:ascii="Yu Mincho" w:eastAsia="Yu Mincho" w:hAnsi="Yu Mincho" w:cs="ＭＳ Ｐゴシック" w:hint="eastAsia"/>
          <w:color w:val="000000"/>
          <w:kern w:val="0"/>
          <w:sz w:val="22"/>
          <w:szCs w:val="22"/>
          <w14:ligatures w14:val="none"/>
        </w:rPr>
        <w:t xml:space="preserve">, M., </w:t>
      </w:r>
      <w:proofErr w:type="spellStart"/>
      <w:r w:rsidRPr="00764A7B">
        <w:rPr>
          <w:rFonts w:ascii="Yu Mincho" w:eastAsia="Yu Mincho" w:hAnsi="Yu Mincho" w:cs="ＭＳ Ｐゴシック" w:hint="eastAsia"/>
          <w:color w:val="000000"/>
          <w:kern w:val="0"/>
          <w:sz w:val="22"/>
          <w:szCs w:val="22"/>
          <w14:ligatures w14:val="none"/>
        </w:rPr>
        <w:t>Pintrich</w:t>
      </w:r>
      <w:proofErr w:type="spellEnd"/>
      <w:r w:rsidRPr="00764A7B">
        <w:rPr>
          <w:rFonts w:ascii="Yu Mincho" w:eastAsia="Yu Mincho" w:hAnsi="Yu Mincho" w:cs="ＭＳ Ｐゴシック" w:hint="eastAsia"/>
          <w:color w:val="000000"/>
          <w:kern w:val="0"/>
          <w:sz w:val="22"/>
          <w:szCs w:val="22"/>
          <w14:ligatures w14:val="none"/>
        </w:rPr>
        <w:t xml:space="preserve">, P. R. and </w:t>
      </w:r>
      <w:proofErr w:type="spellStart"/>
      <w:r w:rsidRPr="00764A7B">
        <w:rPr>
          <w:rFonts w:ascii="Yu Mincho" w:eastAsia="Yu Mincho" w:hAnsi="Yu Mincho" w:cs="ＭＳ Ｐゴシック" w:hint="eastAsia"/>
          <w:color w:val="000000"/>
          <w:kern w:val="0"/>
          <w:sz w:val="22"/>
          <w:szCs w:val="22"/>
          <w14:ligatures w14:val="none"/>
        </w:rPr>
        <w:t>Zeidner</w:t>
      </w:r>
      <w:proofErr w:type="spellEnd"/>
      <w:r w:rsidRPr="00764A7B">
        <w:rPr>
          <w:rFonts w:ascii="Yu Mincho" w:eastAsia="Yu Mincho" w:hAnsi="Yu Mincho" w:cs="ＭＳ Ｐゴシック" w:hint="eastAsia"/>
          <w:color w:val="000000"/>
          <w:kern w:val="0"/>
          <w:sz w:val="22"/>
          <w:szCs w:val="22"/>
          <w14:ligatures w14:val="none"/>
        </w:rPr>
        <w:t>, M. （Eds.）, Handbook of Self-Regulation. Academic Press：pp.451-502.</w:t>
      </w:r>
    </w:p>
    <w:p w14:paraId="59190309" w14:textId="77777777" w:rsidR="00764A7B" w:rsidRPr="00764A7B" w:rsidRDefault="00764A7B" w:rsidP="00764A7B">
      <w:pPr>
        <w:widowControl/>
        <w:numPr>
          <w:ilvl w:val="0"/>
          <w:numId w:val="1"/>
        </w:numPr>
        <w:shd w:val="clear" w:color="auto" w:fill="FFFFFF"/>
        <w:ind w:left="1440"/>
        <w:rPr>
          <w:rFonts w:ascii="Century" w:eastAsia="ＭＳ Ｐゴシック" w:hAnsi="Century" w:cs="ＭＳ Ｐゴシック"/>
          <w:color w:val="000000"/>
          <w:kern w:val="0"/>
          <w:szCs w:val="21"/>
          <w14:ligatures w14:val="none"/>
        </w:rPr>
      </w:pPr>
      <w:r w:rsidRPr="00764A7B">
        <w:rPr>
          <w:rFonts w:ascii="Yu Mincho" w:eastAsia="Yu Mincho" w:hAnsi="Yu Mincho" w:cs="ＭＳ Ｐゴシック" w:hint="eastAsia"/>
          <w:color w:val="000000"/>
          <w:kern w:val="0"/>
          <w:sz w:val="22"/>
          <w:szCs w:val="22"/>
          <w14:ligatures w14:val="none"/>
        </w:rPr>
        <w:t>岡田涼（2022）日本における自己調整学習とその関連領域における研究の動向と展望―学校教育に関する研究を中心に―．教育心理学年報，61：151-171．</w:t>
      </w:r>
    </w:p>
    <w:p w14:paraId="2F9663A9" w14:textId="77777777" w:rsidR="00764A7B" w:rsidRPr="00764A7B" w:rsidRDefault="00764A7B" w:rsidP="00764A7B">
      <w:pPr>
        <w:widowControl/>
        <w:numPr>
          <w:ilvl w:val="0"/>
          <w:numId w:val="1"/>
        </w:numPr>
        <w:shd w:val="clear" w:color="auto" w:fill="FFFFFF"/>
        <w:ind w:left="1440"/>
        <w:rPr>
          <w:rFonts w:ascii="Century" w:eastAsia="ＭＳ Ｐゴシック" w:hAnsi="Century" w:cs="ＭＳ Ｐゴシック"/>
          <w:color w:val="000000"/>
          <w:kern w:val="0"/>
          <w:szCs w:val="21"/>
          <w14:ligatures w14:val="none"/>
        </w:rPr>
      </w:pPr>
      <w:r w:rsidRPr="00764A7B">
        <w:rPr>
          <w:rFonts w:ascii="Yu Mincho" w:eastAsia="Yu Mincho" w:hAnsi="Yu Mincho" w:cs="ＭＳ Ｐゴシック" w:hint="eastAsia"/>
          <w:color w:val="000000"/>
          <w:kern w:val="0"/>
          <w:sz w:val="22"/>
          <w:szCs w:val="22"/>
          <w14:ligatures w14:val="none"/>
        </w:rPr>
        <w:t>文部科学省（2025）目黒区教育委員会・目黒区立東山小学校発表資料（教育課程部会 教育課程企画特別部会（第4回）配付資料1－4）．https://www.mext.go.jp/content/20250328-mext_kyoiku01-000041358_05.pdf，（参照日 2026 年 3 月 7 日）</w:t>
      </w:r>
    </w:p>
    <w:p w14:paraId="377A19BF" w14:textId="77777777" w:rsidR="00764A7B" w:rsidRPr="00764A7B" w:rsidRDefault="00764A7B" w:rsidP="00764A7B">
      <w:pPr>
        <w:widowControl/>
        <w:numPr>
          <w:ilvl w:val="0"/>
          <w:numId w:val="1"/>
        </w:numPr>
        <w:shd w:val="clear" w:color="auto" w:fill="FFFFFF"/>
        <w:ind w:left="1440"/>
        <w:rPr>
          <w:rFonts w:ascii="Century" w:eastAsia="ＭＳ Ｐゴシック" w:hAnsi="Century" w:cs="ＭＳ Ｐゴシック"/>
          <w:color w:val="000000"/>
          <w:kern w:val="0"/>
          <w:szCs w:val="21"/>
          <w14:ligatures w14:val="none"/>
        </w:rPr>
      </w:pPr>
      <w:r w:rsidRPr="00764A7B">
        <w:rPr>
          <w:rFonts w:ascii="Yu Mincho" w:eastAsia="Yu Mincho" w:hAnsi="Yu Mincho" w:cs="ＭＳ Ｐゴシック" w:hint="eastAsia"/>
          <w:color w:val="000000"/>
          <w:kern w:val="0"/>
          <w:sz w:val="22"/>
          <w:szCs w:val="22"/>
          <w14:ligatures w14:val="none"/>
        </w:rPr>
        <w:t>奈良女子大学附属小学校（2025）令和6年度 研究開発実施報告書（第3年次）</w:t>
      </w:r>
    </w:p>
    <w:p w14:paraId="623A7593" w14:textId="77777777" w:rsidR="00764A7B" w:rsidRPr="00764A7B" w:rsidRDefault="00764A7B" w:rsidP="00764A7B">
      <w:pPr>
        <w:widowControl/>
        <w:numPr>
          <w:ilvl w:val="0"/>
          <w:numId w:val="1"/>
        </w:numPr>
        <w:shd w:val="clear" w:color="auto" w:fill="FFFFFF"/>
        <w:ind w:left="1440"/>
        <w:rPr>
          <w:rFonts w:ascii="Century" w:eastAsia="ＭＳ Ｐゴシック" w:hAnsi="Century" w:cs="ＭＳ Ｐゴシック"/>
          <w:color w:val="000000"/>
          <w:kern w:val="0"/>
          <w:szCs w:val="21"/>
          <w14:ligatures w14:val="none"/>
        </w:rPr>
      </w:pPr>
      <w:proofErr w:type="spellStart"/>
      <w:r w:rsidRPr="00764A7B">
        <w:rPr>
          <w:rFonts w:ascii="Yu Mincho" w:eastAsia="Yu Mincho" w:hAnsi="Yu Mincho" w:cs="ＭＳ Ｐゴシック" w:hint="eastAsia"/>
          <w:color w:val="000000"/>
          <w:kern w:val="0"/>
          <w:sz w:val="22"/>
          <w:szCs w:val="22"/>
          <w14:ligatures w14:val="none"/>
        </w:rPr>
        <w:t>Seto</w:t>
      </w:r>
      <w:proofErr w:type="spellEnd"/>
      <w:r w:rsidRPr="00764A7B">
        <w:rPr>
          <w:rFonts w:ascii="Yu Mincho" w:eastAsia="Yu Mincho" w:hAnsi="Yu Mincho" w:cs="ＭＳ Ｐゴシック" w:hint="eastAsia"/>
          <w:color w:val="000000"/>
          <w:kern w:val="0"/>
          <w:sz w:val="22"/>
          <w:szCs w:val="22"/>
          <w14:ligatures w14:val="none"/>
        </w:rPr>
        <w:t xml:space="preserve">, C., Ng, K. E. D., Thomas, M. M., Chan, C. M. E. and Widjaja, W. （2012） Mathematical </w:t>
      </w:r>
      <w:proofErr w:type="spellStart"/>
      <w:r w:rsidRPr="00764A7B">
        <w:rPr>
          <w:rFonts w:ascii="Yu Mincho" w:eastAsia="Yu Mincho" w:hAnsi="Yu Mincho" w:cs="ＭＳ Ｐゴシック" w:hint="eastAsia"/>
          <w:color w:val="000000"/>
          <w:kern w:val="0"/>
          <w:sz w:val="22"/>
          <w:szCs w:val="22"/>
          <w14:ligatures w14:val="none"/>
        </w:rPr>
        <w:t>Modelling</w:t>
      </w:r>
      <w:proofErr w:type="spellEnd"/>
      <w:r w:rsidRPr="00764A7B">
        <w:rPr>
          <w:rFonts w:ascii="Yu Mincho" w:eastAsia="Yu Mincho" w:hAnsi="Yu Mincho" w:cs="ＭＳ Ｐゴシック" w:hint="eastAsia"/>
          <w:color w:val="000000"/>
          <w:kern w:val="0"/>
          <w:sz w:val="22"/>
          <w:szCs w:val="22"/>
          <w14:ligatures w14:val="none"/>
        </w:rPr>
        <w:t xml:space="preserve"> for Singapore Primary Classrooms: From a Teacher's Lens. In </w:t>
      </w:r>
      <w:proofErr w:type="spellStart"/>
      <w:r w:rsidRPr="00764A7B">
        <w:rPr>
          <w:rFonts w:ascii="Yu Mincho" w:eastAsia="Yu Mincho" w:hAnsi="Yu Mincho" w:cs="ＭＳ Ｐゴシック" w:hint="eastAsia"/>
          <w:color w:val="000000"/>
          <w:kern w:val="0"/>
          <w:sz w:val="22"/>
          <w:szCs w:val="22"/>
          <w14:ligatures w14:val="none"/>
        </w:rPr>
        <w:t>Dindyal</w:t>
      </w:r>
      <w:proofErr w:type="spellEnd"/>
      <w:r w:rsidRPr="00764A7B">
        <w:rPr>
          <w:rFonts w:ascii="Yu Mincho" w:eastAsia="Yu Mincho" w:hAnsi="Yu Mincho" w:cs="ＭＳ Ｐゴシック" w:hint="eastAsia"/>
          <w:color w:val="000000"/>
          <w:kern w:val="0"/>
          <w:sz w:val="22"/>
          <w:szCs w:val="22"/>
          <w14:ligatures w14:val="none"/>
        </w:rPr>
        <w:t>, J., Cheng, L. P. and Ng, S. F. （Eds.）, Mathematics education: Expanding horizons (Proceedings of the 35th annual conference of the Mathematics Education Research Group of Australasia). Mathematics Education Research Group of Australasia：pp.673-680.</w:t>
      </w:r>
    </w:p>
    <w:p w14:paraId="77BD634A" w14:textId="77777777" w:rsidR="00764A7B" w:rsidRPr="00764A7B" w:rsidRDefault="00764A7B" w:rsidP="00764A7B">
      <w:pPr>
        <w:widowControl/>
        <w:numPr>
          <w:ilvl w:val="0"/>
          <w:numId w:val="1"/>
        </w:numPr>
        <w:shd w:val="clear" w:color="auto" w:fill="FFFFFF"/>
        <w:ind w:left="1440"/>
        <w:rPr>
          <w:rFonts w:ascii="Century" w:eastAsia="ＭＳ Ｐゴシック" w:hAnsi="Century" w:cs="ＭＳ Ｐゴシック"/>
          <w:color w:val="000000"/>
          <w:kern w:val="0"/>
          <w:szCs w:val="21"/>
          <w14:ligatures w14:val="none"/>
        </w:rPr>
      </w:pPr>
      <w:r w:rsidRPr="00764A7B">
        <w:rPr>
          <w:rFonts w:ascii="Yu Mincho" w:eastAsia="Yu Mincho" w:hAnsi="Yu Mincho" w:cs="ＭＳ Ｐゴシック" w:hint="eastAsia"/>
          <w:color w:val="000000"/>
          <w:kern w:val="0"/>
          <w:sz w:val="22"/>
          <w:szCs w:val="22"/>
          <w14:ligatures w14:val="none"/>
        </w:rPr>
        <w:t xml:space="preserve">Lu, Z., Lei, H., </w:t>
      </w:r>
      <w:proofErr w:type="spellStart"/>
      <w:r w:rsidRPr="00764A7B">
        <w:rPr>
          <w:rFonts w:ascii="Yu Mincho" w:eastAsia="Yu Mincho" w:hAnsi="Yu Mincho" w:cs="ＭＳ Ｐゴシック" w:hint="eastAsia"/>
          <w:color w:val="000000"/>
          <w:kern w:val="0"/>
          <w:sz w:val="22"/>
          <w:szCs w:val="22"/>
          <w14:ligatures w14:val="none"/>
        </w:rPr>
        <w:t>Chiu</w:t>
      </w:r>
      <w:proofErr w:type="spellEnd"/>
      <w:r w:rsidRPr="00764A7B">
        <w:rPr>
          <w:rFonts w:ascii="Yu Mincho" w:eastAsia="Yu Mincho" w:hAnsi="Yu Mincho" w:cs="ＭＳ Ｐゴシック" w:hint="eastAsia"/>
          <w:color w:val="000000"/>
          <w:kern w:val="0"/>
          <w:sz w:val="22"/>
          <w:szCs w:val="22"/>
          <w14:ligatures w14:val="none"/>
        </w:rPr>
        <w:t>, M. M., Mao, W. and Wang, S. （2026） Meta-analyses of Peer Assessment and Affective Outcomes: Motivation, Self-efficacy, and Anxiety. Educational Psychology Review, 38 （1）：14.</w:t>
      </w:r>
    </w:p>
    <w:p w14:paraId="3796F463" w14:textId="77777777" w:rsidR="00764A7B" w:rsidRPr="00764A7B" w:rsidRDefault="00764A7B" w:rsidP="00764A7B">
      <w:pPr>
        <w:widowControl/>
        <w:numPr>
          <w:ilvl w:val="0"/>
          <w:numId w:val="1"/>
        </w:numPr>
        <w:shd w:val="clear" w:color="auto" w:fill="FFFFFF"/>
        <w:ind w:left="1440"/>
        <w:rPr>
          <w:rFonts w:ascii="Century" w:eastAsia="ＭＳ Ｐゴシック" w:hAnsi="Century" w:cs="ＭＳ Ｐゴシック"/>
          <w:color w:val="000000"/>
          <w:kern w:val="0"/>
          <w:szCs w:val="21"/>
          <w14:ligatures w14:val="none"/>
        </w:rPr>
      </w:pPr>
      <w:r w:rsidRPr="00764A7B">
        <w:rPr>
          <w:rFonts w:ascii="Yu Mincho" w:eastAsia="Yu Mincho" w:hAnsi="Yu Mincho" w:cs="ＭＳ Ｐゴシック" w:hint="eastAsia"/>
          <w:color w:val="000000"/>
          <w:kern w:val="0"/>
          <w:sz w:val="22"/>
          <w:szCs w:val="22"/>
          <w14:ligatures w14:val="none"/>
        </w:rPr>
        <w:lastRenderedPageBreak/>
        <w:t>河村茂雄・武蔵由佳（2016）小学校におけるアクティブラーニング型授業の実施に関する一考察―現状の学級集団の状態からの検討―．教育カウンセリング研究，7（1）：1-9．</w:t>
      </w:r>
    </w:p>
    <w:p w14:paraId="352A4006" w14:textId="77777777" w:rsidR="00764A7B" w:rsidRPr="00764A7B" w:rsidRDefault="00764A7B" w:rsidP="00764A7B">
      <w:pPr>
        <w:widowControl/>
        <w:numPr>
          <w:ilvl w:val="0"/>
          <w:numId w:val="1"/>
        </w:numPr>
        <w:shd w:val="clear" w:color="auto" w:fill="FFFFFF"/>
        <w:ind w:left="1440"/>
        <w:rPr>
          <w:rFonts w:ascii="Century" w:eastAsia="ＭＳ Ｐゴシック" w:hAnsi="Century" w:cs="ＭＳ Ｐゴシック"/>
          <w:color w:val="000000"/>
          <w:kern w:val="0"/>
          <w:szCs w:val="21"/>
          <w14:ligatures w14:val="none"/>
        </w:rPr>
      </w:pPr>
      <w:r w:rsidRPr="00764A7B">
        <w:rPr>
          <w:rFonts w:ascii="Yu Mincho" w:eastAsia="Yu Mincho" w:hAnsi="Yu Mincho" w:cs="ＭＳ Ｐゴシック" w:hint="eastAsia"/>
          <w:color w:val="000000"/>
          <w:kern w:val="0"/>
          <w:sz w:val="22"/>
          <w:szCs w:val="22"/>
          <w14:ligatures w14:val="none"/>
        </w:rPr>
        <w:t>尼子尚公（2023）ICT機器を活用した中学校での授業改善―思考力・判断力・表現力を養う保健体育科授業の創造―．教育実践方法学研究 Online Journal，3（2）</w:t>
      </w:r>
    </w:p>
    <w:p w14:paraId="30E6F9A7" w14:textId="77777777" w:rsidR="00764A7B" w:rsidRPr="00764A7B" w:rsidRDefault="00764A7B" w:rsidP="00764A7B">
      <w:pPr>
        <w:widowControl/>
        <w:rPr>
          <w:rFonts w:ascii="ＭＳ Ｐゴシック" w:eastAsia="ＭＳ Ｐゴシック" w:hAnsi="ＭＳ Ｐゴシック" w:cs="ＭＳ Ｐゴシック"/>
          <w:kern w:val="0"/>
          <w:sz w:val="24"/>
          <w14:ligatures w14:val="none"/>
        </w:rPr>
      </w:pPr>
    </w:p>
    <w:p w14:paraId="0FDD2DCB" w14:textId="77777777" w:rsidR="00764A7B" w:rsidRDefault="00764A7B"/>
    <w:sectPr w:rsidR="00764A7B">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Yu Mincho">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roman"/>
    <w:notTrueType/>
    <w:pitch w:val="default"/>
  </w:font>
  <w:font w:name="ＭＳ Ｐゴシック">
    <w:altName w:val="MS PGothic"/>
    <w:panose1 w:val="020B0600070205080204"/>
    <w:charset w:val="80"/>
    <w:family w:val="swiss"/>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175593"/>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108772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5"/>
  <w:bordersDoNotSurroundHeader/>
  <w:bordersDoNotSurroundFooter/>
  <w:proofState w:spelling="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A7B"/>
    <w:rsid w:val="00764A7B"/>
    <w:rsid w:val="00E35A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99A8E1E"/>
  <w15:chartTrackingRefBased/>
  <w15:docId w15:val="{968F218E-E06E-7742-A1F6-E552D0408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764A7B"/>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764A7B"/>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764A7B"/>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764A7B"/>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764A7B"/>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764A7B"/>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764A7B"/>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764A7B"/>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764A7B"/>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64A7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764A7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764A7B"/>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764A7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764A7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764A7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764A7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764A7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764A7B"/>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764A7B"/>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764A7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64A7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764A7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64A7B"/>
    <w:pPr>
      <w:spacing w:before="160" w:after="160"/>
      <w:jc w:val="center"/>
    </w:pPr>
    <w:rPr>
      <w:i/>
      <w:iCs/>
      <w:color w:val="404040" w:themeColor="text1" w:themeTint="BF"/>
    </w:rPr>
  </w:style>
  <w:style w:type="character" w:customStyle="1" w:styleId="a8">
    <w:name w:val="引用文 (文字)"/>
    <w:basedOn w:val="a0"/>
    <w:link w:val="a7"/>
    <w:uiPriority w:val="29"/>
    <w:rsid w:val="00764A7B"/>
    <w:rPr>
      <w:i/>
      <w:iCs/>
      <w:color w:val="404040" w:themeColor="text1" w:themeTint="BF"/>
    </w:rPr>
  </w:style>
  <w:style w:type="paragraph" w:styleId="a9">
    <w:name w:val="List Paragraph"/>
    <w:basedOn w:val="a"/>
    <w:uiPriority w:val="34"/>
    <w:qFormat/>
    <w:rsid w:val="00764A7B"/>
    <w:pPr>
      <w:ind w:left="720"/>
      <w:contextualSpacing/>
    </w:pPr>
  </w:style>
  <w:style w:type="character" w:styleId="21">
    <w:name w:val="Intense Emphasis"/>
    <w:basedOn w:val="a0"/>
    <w:uiPriority w:val="21"/>
    <w:qFormat/>
    <w:rsid w:val="00764A7B"/>
    <w:rPr>
      <w:i/>
      <w:iCs/>
      <w:color w:val="0F4761" w:themeColor="accent1" w:themeShade="BF"/>
    </w:rPr>
  </w:style>
  <w:style w:type="paragraph" w:styleId="22">
    <w:name w:val="Intense Quote"/>
    <w:basedOn w:val="a"/>
    <w:next w:val="a"/>
    <w:link w:val="23"/>
    <w:uiPriority w:val="30"/>
    <w:qFormat/>
    <w:rsid w:val="00764A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764A7B"/>
    <w:rPr>
      <w:i/>
      <w:iCs/>
      <w:color w:val="0F4761" w:themeColor="accent1" w:themeShade="BF"/>
    </w:rPr>
  </w:style>
  <w:style w:type="character" w:styleId="24">
    <w:name w:val="Intense Reference"/>
    <w:basedOn w:val="a0"/>
    <w:uiPriority w:val="32"/>
    <w:qFormat/>
    <w:rsid w:val="00764A7B"/>
    <w:rPr>
      <w:b/>
      <w:bCs/>
      <w:smallCaps/>
      <w:color w:val="0F4761" w:themeColor="accent1" w:themeShade="BF"/>
      <w:spacing w:val="5"/>
    </w:rPr>
  </w:style>
  <w:style w:type="paragraph" w:styleId="Web">
    <w:name w:val="Normal (Web)"/>
    <w:basedOn w:val="a"/>
    <w:uiPriority w:val="99"/>
    <w:semiHidden/>
    <w:unhideWhenUsed/>
    <w:rsid w:val="00764A7B"/>
    <w:pPr>
      <w:widowControl/>
      <w:spacing w:before="100" w:beforeAutospacing="1" w:after="100" w:afterAutospacing="1"/>
    </w:pPr>
    <w:rPr>
      <w:rFonts w:ascii="ＭＳ Ｐゴシック" w:eastAsia="ＭＳ Ｐゴシック" w:hAnsi="ＭＳ Ｐゴシック" w:cs="ＭＳ Ｐゴシック"/>
      <w:kern w:val="0"/>
      <w:sz w:val="24"/>
      <w14:ligatures w14:val="none"/>
    </w:rPr>
  </w:style>
  <w:style w:type="character" w:customStyle="1" w:styleId="apple-converted-space">
    <w:name w:val="apple-converted-space"/>
    <w:basedOn w:val="a0"/>
    <w:rsid w:val="00764A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1486</Words>
  <Characters>8475</Characters>
  <Application>Microsoft Office Word</Application>
  <DocSecurity>0</DocSecurity>
  <Lines>70</Lines>
  <Paragraphs>19</Paragraphs>
  <ScaleCrop>false</ScaleCrop>
  <Company/>
  <LinksUpToDate>false</LinksUpToDate>
  <CharactersWithSpaces>9942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山田 実穂</dc:creator>
  <cp:keywords/>
  <dc:description/>
  <cp:lastModifiedBy>山田 実穂</cp:lastModifiedBy>
  <cp:revision>2</cp:revision>
  <dcterms:created xsi:type="dcterms:W3CDTF">2026-03-08T12:15:00Z</dcterms:created>
  <dcterms:modified xsi:type="dcterms:W3CDTF">2026-03-08T12:15:00Z</dcterms:modified>
</cp:coreProperties>
</file>