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FD46" w14:textId="460A83D7" w:rsidR="000E078D" w:rsidRDefault="000E078D" w:rsidP="000E078D">
      <w:pPr>
        <w:widowControl w:val="0"/>
        <w:autoSpaceDE w:val="0"/>
        <w:autoSpaceDN w:val="0"/>
        <w:adjustRightInd w:val="0"/>
        <w:spacing w:after="240" w:line="320" w:lineRule="atLeast"/>
        <w:jc w:val="both"/>
        <w:rPr>
          <w:rFonts w:ascii="Century" w:hAnsi="Century" w:cs="Century"/>
          <w:b/>
          <w:color w:val="000000"/>
          <w:sz w:val="26"/>
          <w:szCs w:val="26"/>
        </w:rPr>
      </w:pPr>
      <w:r w:rsidRPr="00125B65">
        <w:rPr>
          <w:rFonts w:ascii="Century" w:hAnsi="Century" w:cs="Century"/>
          <w:b/>
          <w:color w:val="000000"/>
          <w:sz w:val="26"/>
          <w:szCs w:val="26"/>
        </w:rPr>
        <w:t>References</w:t>
      </w:r>
      <w:r w:rsidR="00204C53">
        <w:rPr>
          <w:rFonts w:ascii="Century" w:hAnsi="Century" w:cs="Century"/>
          <w:b/>
          <w:color w:val="000000"/>
          <w:sz w:val="26"/>
          <w:szCs w:val="26"/>
        </w:rPr>
        <w:t xml:space="preserve"> HRV</w:t>
      </w:r>
    </w:p>
    <w:p w14:paraId="1C70B2C4" w14:textId="77777777" w:rsidR="00204C53" w:rsidRPr="003D23DF" w:rsidRDefault="00204C53" w:rsidP="000E078D">
      <w:pPr>
        <w:widowControl w:val="0"/>
        <w:autoSpaceDE w:val="0"/>
        <w:autoSpaceDN w:val="0"/>
        <w:adjustRightInd w:val="0"/>
        <w:spacing w:after="240" w:line="320" w:lineRule="atLeast"/>
        <w:jc w:val="both"/>
        <w:rPr>
          <w:rFonts w:ascii="Century" w:hAnsi="Century" w:cs="Century"/>
          <w:b/>
          <w:color w:val="000000"/>
          <w:sz w:val="26"/>
          <w:szCs w:val="26"/>
        </w:rPr>
      </w:pPr>
    </w:p>
    <w:p w14:paraId="3CA80992" w14:textId="77777777" w:rsidR="000E078D" w:rsidRPr="00125B65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b/>
          <w:color w:val="000000"/>
          <w:sz w:val="26"/>
          <w:szCs w:val="26"/>
        </w:rPr>
      </w:pPr>
      <w:r w:rsidRPr="003B2AFA">
        <w:rPr>
          <w:rFonts w:ascii="Century" w:hAnsi="Century" w:cs="Century"/>
          <w:color w:val="000000"/>
          <w:sz w:val="22"/>
          <w:szCs w:val="22"/>
        </w:rPr>
        <w:t xml:space="preserve">S. Koton et al. Stroke incidence and mortality trends in us communities, 1987 to 2011. Jama, </w:t>
      </w:r>
      <w:r w:rsidRPr="003B2AFA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3B2AFA">
        <w:rPr>
          <w:rFonts w:ascii="Century" w:hAnsi="Century" w:cs="Century"/>
          <w:color w:val="000000"/>
          <w:sz w:val="22"/>
          <w:szCs w:val="22"/>
        </w:rPr>
        <w:t xml:space="preserve">Vol. 312, No. 3, pp. 259-268, 2014. </w:t>
      </w:r>
      <w:r w:rsidRPr="003B2AFA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</w:p>
    <w:p w14:paraId="15840727" w14:textId="77777777" w:rsidR="000E078D" w:rsidRPr="00125B65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b/>
          <w:color w:val="000000"/>
          <w:sz w:val="26"/>
          <w:szCs w:val="26"/>
        </w:rPr>
      </w:pPr>
      <w:r w:rsidRPr="003B2AFA">
        <w:rPr>
          <w:rFonts w:ascii="Century" w:hAnsi="Century" w:cs="Century"/>
          <w:color w:val="000000"/>
          <w:sz w:val="22"/>
          <w:szCs w:val="22"/>
        </w:rPr>
        <w:t>Handbook of Health and Welfare Statistics 2015.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 </w:t>
      </w:r>
      <w:hyperlink r:id="rId5" w:history="1">
        <w:r w:rsidRPr="00CB0FCC">
          <w:rPr>
            <w:rStyle w:val="a4"/>
            <w:rFonts w:ascii="Century" w:hAnsi="Century" w:cs="Century"/>
            <w:sz w:val="22"/>
            <w:szCs w:val="22"/>
          </w:rPr>
          <w:t>http://www.mhlw.go.jp/english/database/db-hh/1-2.html</w:t>
        </w:r>
      </w:hyperlink>
      <w:r w:rsidRPr="003B2AFA">
        <w:rPr>
          <w:rFonts w:ascii="Century" w:hAnsi="Century" w:cs="Century"/>
          <w:color w:val="000000"/>
          <w:sz w:val="22"/>
          <w:szCs w:val="22"/>
        </w:rPr>
        <w:t>.</w:t>
      </w:r>
    </w:p>
    <w:p w14:paraId="051316DF" w14:textId="77777777" w:rsidR="000E078D" w:rsidRPr="00125B65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3D23DF">
        <w:rPr>
          <w:rFonts w:ascii="Century" w:hAnsi="Century" w:cs="Century"/>
          <w:color w:val="000000"/>
          <w:sz w:val="22"/>
          <w:szCs w:val="22"/>
        </w:rPr>
        <w:t xml:space="preserve">H. P. Adams et al. Guidelines for the early management of adults with ischemic stroke. Circulation, Vol.115, No. 20, pp. 478-534, 2007. </w:t>
      </w:r>
      <w:r w:rsidRPr="003D23DF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</w:p>
    <w:p w14:paraId="4861293A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 xml:space="preserve">M. C. Fang et al. Trends in thrombolytic use for ischemic stroke in the united states. Journal of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hospital medicine, Vol. 5, No. 7, pp. 406-409, 2010.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3D23DF">
        <w:rPr>
          <w:rFonts w:ascii="Century" w:hAnsi="Century" w:cs="Century"/>
          <w:color w:val="000000"/>
          <w:sz w:val="22"/>
          <w:szCs w:val="22"/>
        </w:rPr>
        <w:t xml:space="preserve"> </w:t>
      </w:r>
    </w:p>
    <w:p w14:paraId="52776319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3B2AFA">
        <w:rPr>
          <w:rFonts w:ascii="Century" w:hAnsi="Century" w:cs="Century"/>
          <w:color w:val="000000"/>
          <w:sz w:val="22"/>
          <w:szCs w:val="22"/>
        </w:rPr>
        <w:t xml:space="preserve">A. T. Mobashsher et al. Development of compact directional antenna utilizing plane of </w:t>
      </w:r>
      <w:r w:rsidRPr="003B2AFA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3B2AFA">
        <w:rPr>
          <w:rFonts w:ascii="Century" w:hAnsi="Century" w:cs="Century"/>
          <w:color w:val="000000"/>
          <w:sz w:val="22"/>
          <w:szCs w:val="22"/>
        </w:rPr>
        <w:t xml:space="preserve">symmetry for wideband brain stroke detection systems. Electronics Letters, Vol. 50, No. 12, pp. </w:t>
      </w:r>
      <w:r w:rsidRPr="003B2AFA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3B2AFA">
        <w:rPr>
          <w:rFonts w:ascii="Century" w:hAnsi="Century" w:cs="Century"/>
          <w:color w:val="000000"/>
          <w:sz w:val="22"/>
          <w:szCs w:val="22"/>
        </w:rPr>
        <w:t>850-851, 2014</w:t>
      </w:r>
    </w:p>
    <w:p w14:paraId="4921856E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 xml:space="preserve">B. J. Mohammed et al. Stroke detection based on variations in reflection coefficients of wideband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antennas. In Proceedings of the 2012 IEEE International Symposium on Antennas and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Propagation, pp. 1-2. IEEE, 2012. </w:t>
      </w:r>
    </w:p>
    <w:p w14:paraId="2608B484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 xml:space="preserve">Task Force of the European Society of Cardiology. Heart rate variability standards of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measurement, physiological interpretation, and clinical use. Eur Heart J, Vol. 17, pp. 354-381,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1996.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3D23DF">
        <w:rPr>
          <w:rFonts w:ascii="Century" w:hAnsi="Century" w:cs="Century"/>
          <w:color w:val="000000"/>
          <w:sz w:val="22"/>
          <w:szCs w:val="22"/>
        </w:rPr>
        <w:t xml:space="preserve"> </w:t>
      </w:r>
    </w:p>
    <w:p w14:paraId="3701E07B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3B2AFA">
        <w:rPr>
          <w:rFonts w:ascii="Century" w:hAnsi="Century" w:cs="Century"/>
          <w:color w:val="000000"/>
          <w:sz w:val="22"/>
          <w:szCs w:val="22"/>
        </w:rPr>
        <w:t xml:space="preserve">K. Fujiwara et al. Epileptic seizure prediction based on multivariate statistical process control </w:t>
      </w:r>
      <w:r w:rsidRPr="003B2AFA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3B2AFA">
        <w:rPr>
          <w:rFonts w:ascii="Century" w:hAnsi="Century" w:cs="Century"/>
          <w:color w:val="000000"/>
          <w:sz w:val="22"/>
          <w:szCs w:val="22"/>
        </w:rPr>
        <w:t xml:space="preserve">of heart rate variability features. IEEE Transactions on Biomedical Engineering, Vol. 63, No. 6, </w:t>
      </w:r>
      <w:r w:rsidRPr="003B2AFA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3B2AFA">
        <w:rPr>
          <w:rFonts w:ascii="Century" w:hAnsi="Century" w:cs="Century"/>
          <w:color w:val="000000"/>
          <w:sz w:val="22"/>
          <w:szCs w:val="22"/>
        </w:rPr>
        <w:t>pp. 1321-1332, 2016.</w:t>
      </w:r>
      <w:r w:rsidRPr="003D23DF">
        <w:rPr>
          <w:rFonts w:ascii="Century" w:hAnsi="Century" w:cs="Century"/>
          <w:color w:val="000000"/>
          <w:sz w:val="22"/>
          <w:szCs w:val="22"/>
        </w:rPr>
        <w:t xml:space="preserve"> </w:t>
      </w:r>
    </w:p>
    <w:p w14:paraId="5E0D8ED2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 xml:space="preserve">W. T. Talman et al. Cardiovascular regulation and lesions of the central nervous system. Annals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of neurology, Vol. 18, No. 1, pp. 1-12, 1985. </w:t>
      </w:r>
    </w:p>
    <w:p w14:paraId="492CFAB6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 xml:space="preserve">Oppenheimer et al. Cerebrogenic cardiac arrhythmias: cerebral electrocardiographic influences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and their role in sudden death. Archives of Neurology, Vol. 47, No. 5, pp. 513-519, 1990.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 </w:t>
      </w:r>
    </w:p>
    <w:p w14:paraId="5D9AEB96" w14:textId="77777777" w:rsidR="000E078D" w:rsidRPr="00125B65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 xml:space="preserve">J. T. Korpelainen et al. Cardiovascular autonomic reflexes in brain infarction. </w:t>
      </w:r>
      <w:r w:rsidRPr="00125B65">
        <w:rPr>
          <w:rFonts w:ascii="Century" w:hAnsi="Century" w:cs="Century"/>
          <w:color w:val="000000"/>
          <w:sz w:val="22"/>
          <w:szCs w:val="22"/>
        </w:rPr>
        <w:lastRenderedPageBreak/>
        <w:t xml:space="preserve">Stroke, Vol. 25,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No. 4. </w:t>
      </w:r>
    </w:p>
    <w:p w14:paraId="1B4CC0AC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3B2AFA">
        <w:rPr>
          <w:rFonts w:ascii="Century" w:hAnsi="Century" w:cs="Century"/>
          <w:color w:val="000000"/>
          <w:sz w:val="22"/>
          <w:szCs w:val="22"/>
        </w:rPr>
        <w:t xml:space="preserve">H. K. Naver et al. Reduced heart rate variability after right-sided stroke. Stroke, Vol. 27, No. 2, </w:t>
      </w:r>
      <w:r w:rsidRPr="003B2AFA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3B2AFA">
        <w:rPr>
          <w:rFonts w:ascii="Century" w:hAnsi="Century" w:cs="Century"/>
          <w:color w:val="000000"/>
          <w:sz w:val="22"/>
          <w:szCs w:val="22"/>
        </w:rPr>
        <w:t>pp. 247-251, 1996.</w:t>
      </w:r>
      <w:r w:rsidRPr="00210151">
        <w:rPr>
          <w:rFonts w:ascii="Century" w:hAnsi="Century" w:cs="Century"/>
          <w:color w:val="000000"/>
          <w:sz w:val="22"/>
          <w:szCs w:val="22"/>
        </w:rPr>
        <w:t xml:space="preserve"> </w:t>
      </w:r>
    </w:p>
    <w:p w14:paraId="6A883E87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3B2AFA">
        <w:rPr>
          <w:rFonts w:ascii="Century" w:hAnsi="Century" w:cs="Century"/>
          <w:color w:val="000000"/>
          <w:sz w:val="22"/>
          <w:szCs w:val="22"/>
        </w:rPr>
        <w:t xml:space="preserve">S. A. Barron et al. Autonomic consequences of cerebral hemisphere infarction. Stroke, Vol. 25, </w:t>
      </w:r>
      <w:r w:rsidRPr="003B2AFA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3B2AFA">
        <w:rPr>
          <w:rFonts w:ascii="Century" w:hAnsi="Century" w:cs="Century"/>
          <w:color w:val="000000"/>
          <w:sz w:val="22"/>
          <w:szCs w:val="22"/>
        </w:rPr>
        <w:t>No. 1, pp. 113-116, 1994.</w:t>
      </w:r>
      <w:r w:rsidRPr="00210151">
        <w:rPr>
          <w:rFonts w:ascii="Century" w:hAnsi="Century" w:cs="Century"/>
          <w:color w:val="000000"/>
          <w:sz w:val="22"/>
          <w:szCs w:val="22"/>
        </w:rPr>
        <w:t xml:space="preserve"> </w:t>
      </w:r>
    </w:p>
    <w:p w14:paraId="07D3BC27" w14:textId="77777777" w:rsidR="000E078D" w:rsidRPr="00125B65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3B2AFA">
        <w:rPr>
          <w:rFonts w:ascii="Century" w:hAnsi="Century" w:cs="Century"/>
          <w:color w:val="000000"/>
          <w:sz w:val="22"/>
          <w:szCs w:val="22"/>
        </w:rPr>
        <w:t xml:space="preserve">J. T. Korpelainen et al. Abnormal heart rate variability reflecting autonomic dysfunction in </w:t>
      </w:r>
      <w:r w:rsidRPr="003B2AFA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3B2AFA">
        <w:rPr>
          <w:rFonts w:ascii="Century" w:hAnsi="Century" w:cs="Century"/>
          <w:color w:val="000000"/>
          <w:sz w:val="22"/>
          <w:szCs w:val="22"/>
        </w:rPr>
        <w:t>brainstem infarction. Acta neurologica scandinavica, Vol. 94, No. 5, pp. 337-342, 1996.</w:t>
      </w:r>
    </w:p>
    <w:p w14:paraId="60E5E85A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210151">
        <w:rPr>
          <w:rFonts w:ascii="Century" w:hAnsi="Century" w:cs="Century"/>
          <w:color w:val="000000"/>
          <w:sz w:val="22"/>
          <w:szCs w:val="22"/>
        </w:rPr>
        <w:t xml:space="preserve">T. Yamakawa et al. Accuracy comparison between two microcontroller-embedded r-wave detection methods for heartrate variability analysis. In 2015 Asia Pacific Signal and </w:t>
      </w:r>
      <w:r w:rsidRPr="00210151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210151">
        <w:rPr>
          <w:rFonts w:ascii="Century" w:hAnsi="Century" w:cs="Century"/>
          <w:color w:val="000000"/>
          <w:sz w:val="22"/>
          <w:szCs w:val="22"/>
        </w:rPr>
        <w:t>Information Processing Association Annual Summit and Conference (APSIPA), pp. 1010-1013. IEEE, 2015.</w:t>
      </w:r>
    </w:p>
    <w:p w14:paraId="6F0FA9C5" w14:textId="77777777" w:rsidR="000E078D" w:rsidRPr="00125B65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210151">
        <w:rPr>
          <w:rFonts w:ascii="Century" w:hAnsi="Century" w:cs="Century"/>
          <w:color w:val="000000"/>
          <w:sz w:val="22"/>
          <w:szCs w:val="22"/>
        </w:rPr>
        <w:t xml:space="preserve">P. Nomikos et al. Monitoring batch processes using multiway principal component analysis. </w:t>
      </w:r>
      <w:r w:rsidRPr="00210151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210151">
        <w:rPr>
          <w:rFonts w:ascii="Century" w:hAnsi="Century" w:cs="Century"/>
          <w:color w:val="000000"/>
          <w:sz w:val="22"/>
          <w:szCs w:val="22"/>
        </w:rPr>
        <w:t xml:space="preserve">AIChE Journal, Vol. 40, No. 8, pp. 1361-1375, 1994. </w:t>
      </w:r>
    </w:p>
    <w:p w14:paraId="46F0EC0B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3B2AFA">
        <w:rPr>
          <w:rFonts w:ascii="Century" w:hAnsi="Century" w:cs="Century"/>
          <w:color w:val="000000"/>
          <w:sz w:val="22"/>
          <w:szCs w:val="22"/>
        </w:rPr>
        <w:t xml:space="preserve">J. F. MacGregor et al. Statistical process control of multivariate processes. Control Engineering </w:t>
      </w:r>
      <w:r w:rsidRPr="003B2AFA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3B2AFA">
        <w:rPr>
          <w:rFonts w:ascii="Century" w:hAnsi="Century" w:cs="Century"/>
          <w:color w:val="000000"/>
          <w:sz w:val="22"/>
          <w:szCs w:val="22"/>
        </w:rPr>
        <w:t>Practice, Vol. 3, No. 3, pp. 403-414, 1995.</w:t>
      </w:r>
      <w:r w:rsidRPr="00210151">
        <w:rPr>
          <w:rFonts w:ascii="Century" w:hAnsi="Century" w:cs="Century"/>
          <w:color w:val="000000"/>
          <w:sz w:val="22"/>
          <w:szCs w:val="22"/>
        </w:rPr>
        <w:t xml:space="preserve"> </w:t>
      </w:r>
    </w:p>
    <w:p w14:paraId="239C370B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 xml:space="preserve">M. Kano et al. A new multivariate statistical process monitoring method using principal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component analysis. Computers &amp; chemical engineering, Vol. 25, No. 7, pp. 1103-1113, 2001. </w:t>
      </w:r>
    </w:p>
    <w:p w14:paraId="3AF85AB1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 xml:space="preserve">A. Durukan et al. Acute ischemic stroke: overview of major experimental rodent models, pathophysiology, and therapy of focal cerebral ischemia. Pharmacology Biochemistry and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Behavior, Vol. 87, No. 1, pp. 179-197, 2007. </w:t>
      </w:r>
    </w:p>
    <w:p w14:paraId="64BC0CE5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 xml:space="preserve">M. Kuwahara et al. Power spectral analysis of heart rate variability as a new method for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assessing autonomic activity in the rat. Journal of electrocardiology, Vol. 27, No. 4, pp. 333-337,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1994. </w:t>
      </w:r>
    </w:p>
    <w:p w14:paraId="1D4789CE" w14:textId="77777777" w:rsidR="000E078D" w:rsidRPr="000A1565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Segoe UI"/>
          <w:color w:val="000000"/>
          <w:sz w:val="22"/>
          <w:szCs w:val="22"/>
        </w:rPr>
        <w:t>F. R. Hampel, The Influence Curve and Its Role in Robust Estimation. J. Am. Stat. Assoc., vol. 69, no. 346, pp. 383–393, 1974.</w:t>
      </w:r>
    </w:p>
    <w:p w14:paraId="5C7E6ACB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 xml:space="preserve">J. E. Jackson et al. Control procedures for residuals associated with principal component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analysis. Technometrics, Vol. 21, No. 3, pp. 341-349, 1979. </w:t>
      </w:r>
    </w:p>
    <w:p w14:paraId="78D3C81B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lastRenderedPageBreak/>
        <w:t xml:space="preserve">S. Huang et al. Suppressing cardiac vagal modulation and changing sleep patterns in rats after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chronic ischemic stroke injury. Autonomic Neuroscience, Vol. 169, No. 2, pp. 116-123, 2012.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 </w:t>
      </w:r>
    </w:p>
    <w:p w14:paraId="6FB0B642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 xml:space="preserve">T. B. Kuo et al. Effect of aging on gender differences in neural control of heart rate. Vol. 277, No. </w:t>
      </w:r>
      <w:r w:rsidRPr="00125B65">
        <w:rPr>
          <w:rFonts w:ascii="ＭＳ 明朝" w:eastAsia="ＭＳ 明朝" w:hAnsi="ＭＳ 明朝" w:cs="ＭＳ 明朝"/>
          <w:color w:val="000000"/>
          <w:sz w:val="22"/>
          <w:szCs w:val="22"/>
        </w:rPr>
        <w:t> </w:t>
      </w:r>
      <w:r w:rsidRPr="00125B65">
        <w:rPr>
          <w:rFonts w:ascii="Century" w:hAnsi="Century" w:cs="Century"/>
          <w:color w:val="000000"/>
          <w:sz w:val="22"/>
          <w:szCs w:val="22"/>
        </w:rPr>
        <w:t xml:space="preserve">6, pp. 2233-2239, 1999. </w:t>
      </w:r>
    </w:p>
    <w:p w14:paraId="694CE4F4" w14:textId="77777777" w:rsidR="000E078D" w:rsidRDefault="000E078D" w:rsidP="000E07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="Century" w:hAnsi="Century" w:cs="Century"/>
          <w:color w:val="000000"/>
          <w:sz w:val="22"/>
          <w:szCs w:val="22"/>
        </w:rPr>
      </w:pPr>
      <w:r w:rsidRPr="00125B65">
        <w:rPr>
          <w:rFonts w:ascii="Century" w:hAnsi="Century" w:cs="Century"/>
          <w:color w:val="000000"/>
          <w:sz w:val="22"/>
          <w:szCs w:val="22"/>
        </w:rPr>
        <w:t>M. Kato et al. Spectral analysis of heart rate variability during isoflurane anesthesia. Anesthesiology, Vol. 77, No. 4, pp. 669-674, 1992.</w:t>
      </w:r>
    </w:p>
    <w:p w14:paraId="45F862E5" w14:textId="2A86C3A6" w:rsidR="000E078D" w:rsidRDefault="000E078D" w:rsidP="000E078D">
      <w:pPr>
        <w:rPr>
          <w:rFonts w:ascii="Century" w:hAnsi="Century" w:cs="Century"/>
          <w:color w:val="000000"/>
          <w:sz w:val="22"/>
          <w:szCs w:val="22"/>
        </w:rPr>
      </w:pPr>
      <w:r>
        <w:rPr>
          <w:rFonts w:ascii="Century" w:hAnsi="Century" w:cs="Century"/>
          <w:color w:val="000000"/>
          <w:sz w:val="22"/>
          <w:szCs w:val="22"/>
        </w:rPr>
        <w:br w:type="page"/>
      </w:r>
    </w:p>
    <w:p w14:paraId="0F0C84DC" w14:textId="550BEDEE" w:rsidR="00204C53" w:rsidRDefault="00204C53" w:rsidP="000E078D">
      <w:pPr>
        <w:rPr>
          <w:rFonts w:ascii="Century" w:hAnsi="Century" w:cs="Century"/>
          <w:color w:val="000000"/>
          <w:sz w:val="22"/>
          <w:szCs w:val="22"/>
        </w:rPr>
      </w:pPr>
      <w:r>
        <w:rPr>
          <w:rFonts w:ascii="Century" w:hAnsi="Century" w:cs="Century" w:hint="eastAsia"/>
          <w:color w:val="000000"/>
          <w:sz w:val="22"/>
          <w:szCs w:val="22"/>
        </w:rPr>
        <w:lastRenderedPageBreak/>
        <w:t>A</w:t>
      </w:r>
      <w:r>
        <w:rPr>
          <w:rFonts w:ascii="Century" w:hAnsi="Century" w:cs="Century"/>
          <w:color w:val="000000"/>
          <w:sz w:val="22"/>
          <w:szCs w:val="22"/>
        </w:rPr>
        <w:t>lloy</w:t>
      </w:r>
    </w:p>
    <w:p w14:paraId="72FCCC6A" w14:textId="77777777" w:rsidR="00204C53" w:rsidRDefault="00C825F2" w:rsidP="000E078D">
      <w:pPr>
        <w:rPr>
          <w:rFonts w:ascii="Century" w:hAnsi="Century" w:cs="Century"/>
          <w:color w:val="000000"/>
          <w:sz w:val="22"/>
          <w:szCs w:val="22"/>
        </w:rPr>
      </w:pPr>
      <w:r w:rsidRPr="00C825F2">
        <w:rPr>
          <w:rFonts w:ascii="Century" w:hAnsi="Century" w:cs="Century"/>
          <w:color w:val="000000"/>
          <w:sz w:val="22"/>
          <w:szCs w:val="22"/>
        </w:rPr>
        <w:t xml:space="preserve">(1) Brown, S. Engineered Iron Oxide-Adhesion Mutants of the Escherichia Coli Phage Lambda Receptor. Proc. Natl. Acad. Sci. U. S. A. 1992, 89, 8651−8655. </w:t>
      </w:r>
    </w:p>
    <w:p w14:paraId="5CF421BE" w14:textId="77777777" w:rsidR="00204C53" w:rsidRDefault="00C825F2" w:rsidP="000E078D">
      <w:pPr>
        <w:rPr>
          <w:rFonts w:ascii="Century" w:hAnsi="Century" w:cs="Century"/>
          <w:color w:val="000000"/>
          <w:sz w:val="22"/>
          <w:szCs w:val="22"/>
        </w:rPr>
      </w:pPr>
      <w:r w:rsidRPr="00C825F2">
        <w:rPr>
          <w:rFonts w:ascii="Century" w:hAnsi="Century" w:cs="Century"/>
          <w:color w:val="000000"/>
          <w:sz w:val="22"/>
          <w:szCs w:val="22"/>
        </w:rPr>
        <w:t xml:space="preserve">(2) Brown, S. Metal-Recognition by Repeating Polypeptides. Nat. Biotechnol. 1997, 15, 269−272. </w:t>
      </w:r>
    </w:p>
    <w:p w14:paraId="74A968F6" w14:textId="77777777" w:rsidR="00204C53" w:rsidRDefault="00C825F2" w:rsidP="000E078D">
      <w:pPr>
        <w:rPr>
          <w:rFonts w:ascii="Century" w:hAnsi="Century" w:cs="Century"/>
          <w:color w:val="000000"/>
          <w:sz w:val="22"/>
          <w:szCs w:val="22"/>
        </w:rPr>
      </w:pPr>
      <w:r w:rsidRPr="00C825F2">
        <w:rPr>
          <w:rFonts w:ascii="Century" w:hAnsi="Century" w:cs="Century"/>
          <w:color w:val="000000"/>
          <w:sz w:val="22"/>
          <w:szCs w:val="22"/>
        </w:rPr>
        <w:t xml:space="preserve">(3) Seker, U. O.; Demir, H. V. Material Binding Peptides for Nanotechnology. Molecules 2011, 16, 1426−1451. </w:t>
      </w:r>
    </w:p>
    <w:p w14:paraId="22606BD3" w14:textId="77777777" w:rsidR="00204C53" w:rsidRDefault="00C825F2" w:rsidP="000E078D">
      <w:pPr>
        <w:rPr>
          <w:rFonts w:ascii="Century" w:hAnsi="Century" w:cs="Century"/>
          <w:color w:val="000000"/>
          <w:sz w:val="22"/>
          <w:szCs w:val="22"/>
        </w:rPr>
      </w:pPr>
      <w:r w:rsidRPr="00C825F2">
        <w:rPr>
          <w:rFonts w:ascii="Century" w:hAnsi="Century" w:cs="Century"/>
          <w:color w:val="000000"/>
          <w:sz w:val="22"/>
          <w:szCs w:val="22"/>
        </w:rPr>
        <w:t xml:space="preserve">(4) Nochomovitz, R.; Amit, M.; Matmor, M.; Ashkenasy, N. Bioassisted Multi-Nanoparticle Patterning Using Single-Layer Peptide Templates. Nanotechnology 2010, 21, 145305. </w:t>
      </w:r>
    </w:p>
    <w:p w14:paraId="132C8C95" w14:textId="77777777" w:rsidR="00204C53" w:rsidRDefault="00C825F2" w:rsidP="000E078D">
      <w:pPr>
        <w:rPr>
          <w:rFonts w:ascii="Century" w:hAnsi="Century" w:cs="Century"/>
          <w:color w:val="000000"/>
          <w:sz w:val="22"/>
          <w:szCs w:val="22"/>
        </w:rPr>
      </w:pPr>
      <w:r w:rsidRPr="00C825F2">
        <w:rPr>
          <w:rFonts w:ascii="Century" w:hAnsi="Century" w:cs="Century"/>
          <w:color w:val="000000"/>
          <w:sz w:val="22"/>
          <w:szCs w:val="22"/>
        </w:rPr>
        <w:t xml:space="preserve">(5) Brown, S.; Sarikaya, M.; Johnson, E. A Genetic Analysis of Crystal Growth. J. Mol. Biol. 2000, 299, 725−735. </w:t>
      </w:r>
    </w:p>
    <w:p w14:paraId="0F5761D2" w14:textId="77777777" w:rsidR="00204C53" w:rsidRDefault="00C825F2" w:rsidP="000E078D">
      <w:pPr>
        <w:rPr>
          <w:rFonts w:ascii="Century" w:hAnsi="Century" w:cs="Century"/>
          <w:color w:val="000000"/>
          <w:sz w:val="22"/>
          <w:szCs w:val="22"/>
        </w:rPr>
      </w:pPr>
      <w:r w:rsidRPr="00C825F2">
        <w:rPr>
          <w:rFonts w:ascii="Century" w:hAnsi="Century" w:cs="Century"/>
          <w:color w:val="000000"/>
          <w:sz w:val="22"/>
          <w:szCs w:val="22"/>
        </w:rPr>
        <w:t xml:space="preserve">(6) Brunski, J. B. In Biomaterials Science, 3rd ed.; Hoffman, A. S., Schoen, F. J., Lemons, J. E., Eds.; Academic Press: 2013; Chapter I.2.3, pp 111−119. </w:t>
      </w:r>
    </w:p>
    <w:p w14:paraId="75EF9773" w14:textId="77777777" w:rsidR="00204C53" w:rsidRDefault="00C825F2" w:rsidP="000E078D">
      <w:pPr>
        <w:rPr>
          <w:rFonts w:ascii="Century" w:hAnsi="Century" w:cs="Century"/>
          <w:color w:val="000000"/>
          <w:sz w:val="22"/>
          <w:szCs w:val="22"/>
        </w:rPr>
      </w:pPr>
      <w:r w:rsidRPr="00C825F2">
        <w:rPr>
          <w:rFonts w:ascii="Century" w:hAnsi="Century" w:cs="Century"/>
          <w:color w:val="000000"/>
          <w:sz w:val="22"/>
          <w:szCs w:val="22"/>
        </w:rPr>
        <w:t xml:space="preserve">(7) Stauss, S.; Honma, I. Biocompatible Batteries-Materials and Chemistry, Fabrication, Applications, and Future Prospects. Bull. Chem. Soc. Jpn. 2018, 91, 492−505. </w:t>
      </w:r>
    </w:p>
    <w:p w14:paraId="156BD9A9" w14:textId="77777777" w:rsidR="00204C53" w:rsidRDefault="00C825F2" w:rsidP="000E078D">
      <w:pPr>
        <w:rPr>
          <w:rFonts w:ascii="Century" w:hAnsi="Century" w:cs="Century"/>
          <w:color w:val="000000"/>
          <w:sz w:val="22"/>
          <w:szCs w:val="22"/>
        </w:rPr>
      </w:pPr>
      <w:r w:rsidRPr="00C825F2">
        <w:rPr>
          <w:rFonts w:ascii="Century" w:hAnsi="Century" w:cs="Century"/>
          <w:color w:val="000000"/>
          <w:sz w:val="22"/>
          <w:szCs w:val="22"/>
        </w:rPr>
        <w:t xml:space="preserve">(8) Ekdahl, K. N.; Huang, S.; Nilsson, B.; Teramura, Y. Complement Inhibition in Biomaterial- and Biosurface-Induced Thromboinflammation. Semin. Immunol. 2016, 28, 268−277. </w:t>
      </w:r>
    </w:p>
    <w:p w14:paraId="7859C26D" w14:textId="77777777" w:rsidR="00204C53" w:rsidRDefault="00C825F2" w:rsidP="000E078D">
      <w:pPr>
        <w:rPr>
          <w:rFonts w:ascii="Century" w:hAnsi="Century" w:cs="Century"/>
          <w:color w:val="000000"/>
          <w:sz w:val="22"/>
          <w:szCs w:val="22"/>
        </w:rPr>
      </w:pPr>
      <w:r w:rsidRPr="00C825F2">
        <w:rPr>
          <w:rFonts w:ascii="Century" w:hAnsi="Century" w:cs="Century"/>
          <w:color w:val="000000"/>
          <w:sz w:val="22"/>
          <w:szCs w:val="22"/>
        </w:rPr>
        <w:t>(9) Ekdahl, K. N.; Soveri, I.; Hilborn, J.; Fellstrom, B.; Nilsson, B. Cardiovascular Disease in Haemodialysis: Role of the Intravascular Innate Immune System. Nat. Rev. Nephrol. 2017, 13, 285−296.</w:t>
      </w:r>
    </w:p>
    <w:p w14:paraId="4E89AFA3" w14:textId="77777777" w:rsidR="00204C53" w:rsidRDefault="00C825F2" w:rsidP="000E078D">
      <w:pPr>
        <w:rPr>
          <w:rFonts w:ascii="Century" w:hAnsi="Century" w:cs="Century"/>
          <w:color w:val="000000"/>
          <w:sz w:val="22"/>
          <w:szCs w:val="22"/>
        </w:rPr>
      </w:pPr>
      <w:r w:rsidRPr="00C825F2">
        <w:rPr>
          <w:rFonts w:ascii="Century" w:hAnsi="Century" w:cs="Century"/>
          <w:color w:val="000000"/>
          <w:sz w:val="22"/>
          <w:szCs w:val="22"/>
        </w:rPr>
        <w:t xml:space="preserve"> (10) Christensen, K.; Larsson, R.; Emanuelsson, H.; Elgue, G.; Larsson, A. Improved Blood Compatibility of a Stent Graft by Combining Heparin Coating and Abciximab. Thromb. Res. 2005, 115, 245−253.</w:t>
      </w:r>
    </w:p>
    <w:p w14:paraId="5F538848" w14:textId="77777777" w:rsidR="00204C53" w:rsidRDefault="00C825F2" w:rsidP="00204C53">
      <w:pPr>
        <w:rPr>
          <w:rFonts w:ascii="Century" w:hAnsi="Century" w:cs="Century"/>
          <w:color w:val="000000"/>
          <w:sz w:val="22"/>
          <w:szCs w:val="22"/>
        </w:rPr>
      </w:pPr>
      <w:r w:rsidRPr="00C825F2">
        <w:rPr>
          <w:rFonts w:ascii="Century" w:hAnsi="Century" w:cs="Century"/>
          <w:color w:val="000000"/>
          <w:sz w:val="22"/>
          <w:szCs w:val="22"/>
        </w:rPr>
        <w:t xml:space="preserve"> (11) Fukuhara, Y.; Kyuzo, M.; Tsutsumi, Y.; Nagai, A.; Chen, P.; Hanawa, T. The Effect of Different Component Ratios in Block Polymers and Processing Conditions on Electrodeposition Efficiency onto Titanium. Appl. Surf. Sci. 2015, 355, 784−791. (12) Tanaka, Y.; Matsuo, Y.; Komiya, T.; Tsutsumi, Y.; Doi, H.; Yoneyama, T.; Hanawa, T. Characterization of the Spatial</w:t>
      </w:r>
      <w:r w:rsidR="00204C53">
        <w:rPr>
          <w:rFonts w:ascii="Century" w:hAnsi="Century" w:cs="Century"/>
          <w:color w:val="000000"/>
          <w:sz w:val="22"/>
          <w:szCs w:val="22"/>
        </w:rPr>
        <w:t xml:space="preserve"> </w:t>
      </w:r>
      <w:r w:rsidR="00204C53" w:rsidRPr="00204C53">
        <w:rPr>
          <w:rFonts w:ascii="Century" w:hAnsi="Century" w:cs="Century"/>
          <w:color w:val="000000"/>
          <w:sz w:val="22"/>
          <w:szCs w:val="22"/>
        </w:rPr>
        <w:t>Immobilization Manner of Poly(ethylene glycol) to a Titanium Surface with Immersion and Electrodeposition and Its Effects on Platelet Adhesion. J. Biomed. Mater. Res., Part A 2010, 92, 350−358.</w:t>
      </w:r>
    </w:p>
    <w:p w14:paraId="707D6CDE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 (13) Smith, G. P. Filamentous Fusion Phage: Novel Expression Vectors That Display Cloned Antigens on the Virion Surface. Science 1985, 228, 1315−1317. </w:t>
      </w:r>
    </w:p>
    <w:p w14:paraId="1781E74F" w14:textId="22A008C7" w:rsidR="00204C53" w:rsidRP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lastRenderedPageBreak/>
        <w:t>(14) Whaley, S. R.; English, D. S.; Hu, E. L.; Barbara, P. F.; Belcher,</w:t>
      </w:r>
    </w:p>
    <w:p w14:paraId="56083703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A. M. Selection of Peptides with Semiconductor Binding Specificity for Directed Nanocrystal Assembly. Nature 2000, 405, 665−668. </w:t>
      </w:r>
    </w:p>
    <w:p w14:paraId="0E07EAE3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(15) Schatz, R. A.; Palmaz, J. C.; Tio, F. O.; Garcia, F.; Garcia, O.; Reuter, S. R. Balloon-Expandable Intracoronary Stents in the Adult Dog. Circulation 1987, 76, 450−457. </w:t>
      </w:r>
    </w:p>
    <w:p w14:paraId="5CE47D5E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(16) Egawa, E. Y.; Kitamura, N.; Nakai, R.; Arima, Y.; Iwata, H. A DNA Hybridization System for Labeling of Neural Stem Cells with Spio Nanoparticles for MRI Monitoring Post-Transplantation. Biomaterials 2015, 54, 158−167. </w:t>
      </w:r>
    </w:p>
    <w:p w14:paraId="6D9388CE" w14:textId="60CABDE9" w:rsidR="00204C53" w:rsidRP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>(17) Teramura, Y. Cell Surface Modification with ssDNA-PEG-Lipid</w:t>
      </w:r>
    </w:p>
    <w:p w14:paraId="57D6C00D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for Analysing Intercellular Interactions between Different Cells. Biomaterials 2015, 48, 119−128. </w:t>
      </w:r>
    </w:p>
    <w:p w14:paraId="6990EF28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(18) Teramura, Y.; Chen, H.; Kawamoto, T.; Iwata, H. Control of Cell Attachment through PolyDNA Hybridization. Biomaterials 2010, 31, 2229−2235. </w:t>
      </w:r>
    </w:p>
    <w:p w14:paraId="75B19A19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(19) Christiansen, A.; Kringelum, J. V.; Hansen, C. S.; Bogh, K. L.; Sullivan, E.; Patel, J.; Rigby, N. M.; Eiwegger, T.; Szepfalusi, Z.; de Masi, F.; Nielsen, M.; Lund, O.; Dufva, M. High-Throughput Sequencing Enhanced Phage Display Enables the Identification of Patient-Specific Epitope Motifs in Serum. Sci. Rep. 2015, 5, 12913. (20) Fugmann, T.; Sofron, A.; Ritz, D.; Bootz, F.; Neri, D. The MHC Class Ii Immunopeptidome of Lymph Nodes in Health and in Chemically Induced Colitis. J. Immunol. 2017, 198, 1357−1364. </w:t>
      </w:r>
    </w:p>
    <w:p w14:paraId="57216C7E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>(21) Packer, M. S.; Rees, H. A.; Liu, D. R. Phage-Assisted Continuous Evolution of Proteases with Altered Substrate Specificity. Nat. Commun. 2017, 8, 956.</w:t>
      </w:r>
    </w:p>
    <w:p w14:paraId="57F95617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 (22) Thomsen, M. C.; Nielsen, M. Seq2logo: A Method for Construction and Visualization of Amino Acid Binding Motifs and Sequence Profiles Including Sequence Weighting, Pseudo Counts and Two-Sided Representation of Amino Acid Enrichment and Depletion. Nucleic Acids Res. 2012, 40, W281−287. </w:t>
      </w:r>
    </w:p>
    <w:p w14:paraId="2EC6781A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(23) Noiri, M.; Asawa, K.; Okada, N.; Kodama, T.; Murayama, Y.; Inoue, Y.; Ishihara, K.; Ekdahl, K. N.; Nilsson, B.; Teramura, Y. Modification of Human MSC Surface with Oligopeptide-Peg-Lipids for Selective Binding to Activated Endothelium. J. Biomed. Mater. Res., Part A 2019, 107A, 1779−1792. </w:t>
      </w:r>
    </w:p>
    <w:p w14:paraId="4FF42F23" w14:textId="1368991C" w:rsidR="00204C53" w:rsidRP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>(24) Kumada, Y.; Kuroki, D.; Yasui, H.; Ohse, T.; Kishimoto, M. Characterization of Polystyrene-Binding Peptides (Ps-Tags) for SiteSpecific Immobilization of Proteins. J. Biosci. Bioeng 2010, 109, 583− 587.</w:t>
      </w:r>
    </w:p>
    <w:p w14:paraId="32B756EE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(25) Danhier, P.; Deumer, G.; Joudiou, N.; Bouzin, C.; Leveque, P.; Haufroid, V.; Jordan, B. F.; Feron, O.; Sonveaux, P.; Gallez, B. Contribution of Macrophages in </w:t>
      </w:r>
      <w:r w:rsidRPr="00204C53">
        <w:rPr>
          <w:rFonts w:ascii="Century" w:hAnsi="Century" w:cs="Century"/>
          <w:color w:val="000000"/>
          <w:sz w:val="22"/>
          <w:szCs w:val="22"/>
        </w:rPr>
        <w:lastRenderedPageBreak/>
        <w:t xml:space="preserve">the Contrast Loss in Iron OxideBased Mri Cancer Cell Tracking Studies. Oncotarget 2017, 8, 38876− 38885. </w:t>
      </w:r>
    </w:p>
    <w:p w14:paraId="021A9FAE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(26) Liu, L.; Tseng, L.; Ye, Q.; Wu, Y. L.; Bain, D. J.; Ho, C. A New Method for Preparing Mesenchymal Stem Cells and Labeling with Ferumoxytol for Cell Tracking by MRI. Sci. Rep. 2016, 6, 26271. </w:t>
      </w:r>
    </w:p>
    <w:p w14:paraId="28585D36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(27) Sudan, R. J.; Kumari, J. L.; Sudandiradoss, C. Ab Initio Coordination Chemistry for Nickel Chelation Motifs. PLoS One 2015, 10, No. e0126787. </w:t>
      </w:r>
    </w:p>
    <w:p w14:paraId="552BE9FE" w14:textId="77777777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 xml:space="preserve">(28) Li, S. C.; Goto, N. K.; Williams, K. A.; Deber, C. M. AlphaHelical, but Not Beta-Sheet, Propensity of Proline Is Determined by Peptide Environment. Proc. Natl. Acad. Sci. U. S. A. 1996, 93, 6676− 6681. </w:t>
      </w:r>
    </w:p>
    <w:p w14:paraId="65C1258F" w14:textId="60FC96A4" w:rsidR="00204C53" w:rsidRP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>(29) Bowers, C. M.; Liao, K. C.; Zaba, T.; Rappoport, D.;</w:t>
      </w:r>
    </w:p>
    <w:p w14:paraId="63CBB8CF" w14:textId="3DCAC29B" w:rsidR="00204C53" w:rsidRDefault="00204C53" w:rsidP="00204C53">
      <w:pPr>
        <w:rPr>
          <w:rFonts w:ascii="Century" w:hAnsi="Century" w:cs="Century"/>
          <w:color w:val="000000"/>
          <w:sz w:val="22"/>
          <w:szCs w:val="22"/>
        </w:rPr>
      </w:pPr>
      <w:r w:rsidRPr="00204C53">
        <w:rPr>
          <w:rFonts w:ascii="Century" w:hAnsi="Century" w:cs="Century"/>
          <w:color w:val="000000"/>
          <w:sz w:val="22"/>
          <w:szCs w:val="22"/>
        </w:rPr>
        <w:t>Baghbanzadeh, M.; Breiten, B.; Krzykawska, A.; Cyganik, P.; Whitesides, G. M. Characterizing the Metal-SAM Interface in Tunneling Junctions. ACS Nano 2015, 9, 1471−1477.</w:t>
      </w:r>
    </w:p>
    <w:p w14:paraId="0B44D9DF" w14:textId="6B66F715" w:rsidR="00204C53" w:rsidRDefault="00204C53" w:rsidP="000E078D">
      <w:pPr>
        <w:rPr>
          <w:rFonts w:ascii="Century" w:hAnsi="Century" w:cs="Century"/>
          <w:color w:val="000000"/>
          <w:sz w:val="22"/>
          <w:szCs w:val="22"/>
        </w:rPr>
      </w:pPr>
    </w:p>
    <w:p w14:paraId="6821CDDF" w14:textId="7BF0CC80" w:rsidR="00204C53" w:rsidRDefault="00914EF8" w:rsidP="000E078D">
      <w:pPr>
        <w:rPr>
          <w:rFonts w:ascii="Century" w:hAnsi="Century" w:cs="Century"/>
          <w:color w:val="000000"/>
          <w:sz w:val="22"/>
          <w:szCs w:val="22"/>
        </w:rPr>
      </w:pPr>
      <w:r>
        <w:rPr>
          <w:rFonts w:ascii="Century" w:hAnsi="Century" w:cs="Century" w:hint="eastAsia"/>
          <w:color w:val="000000"/>
          <w:sz w:val="22"/>
          <w:szCs w:val="22"/>
        </w:rPr>
        <w:t>A</w:t>
      </w:r>
      <w:r>
        <w:rPr>
          <w:rFonts w:ascii="Century" w:hAnsi="Century" w:cs="Century"/>
          <w:color w:val="000000"/>
          <w:sz w:val="22"/>
          <w:szCs w:val="22"/>
        </w:rPr>
        <w:t>uPt</w:t>
      </w:r>
    </w:p>
    <w:p w14:paraId="5FE23CC4" w14:textId="05420532" w:rsidR="00914EF8" w:rsidRDefault="00914EF8" w:rsidP="000E078D">
      <w:pPr>
        <w:rPr>
          <w:rFonts w:ascii="Century" w:hAnsi="Century" w:cs="Century"/>
          <w:color w:val="000000"/>
          <w:sz w:val="22"/>
          <w:szCs w:val="22"/>
        </w:rPr>
      </w:pPr>
    </w:p>
    <w:p w14:paraId="4A03F1F9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References</w:t>
      </w:r>
    </w:p>
    <w:p w14:paraId="1466C084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[1]</w:t>
      </w:r>
    </w:p>
    <w:p w14:paraId="44F44060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C.T. Hennemeyer, K. Wicklow, D.A. Feinberg, C.P. Derdeyn</w:t>
      </w:r>
    </w:p>
    <w:p w14:paraId="69567418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In vitro evaluation of platinum Guglielmi detachable coils at 3 T with porcine model: safety issues and artifacts</w:t>
      </w:r>
    </w:p>
    <w:p w14:paraId="34B0B907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Radiology, 219 (2001), pp. 732-737</w:t>
      </w:r>
    </w:p>
    <w:p w14:paraId="7AB70221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CrossRefView Record in ScopusGoogle Scholar</w:t>
      </w:r>
    </w:p>
    <w:p w14:paraId="59D99BDB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[2]</w:t>
      </w:r>
    </w:p>
    <w:p w14:paraId="0C3D01BE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J. Hartman, T. Nguyen, D. Larsen, G.P. Teitelbaum</w:t>
      </w:r>
    </w:p>
    <w:p w14:paraId="1B78A00E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MR artifacts, heat production, and ferromagnetism of Guglielmi detachable coils</w:t>
      </w:r>
    </w:p>
    <w:p w14:paraId="7DA0FE3E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Am J Neuroradiol, 18 (1996), pp. 497-501</w:t>
      </w:r>
    </w:p>
    <w:p w14:paraId="24468377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Google Scholar</w:t>
      </w:r>
    </w:p>
    <w:p w14:paraId="402E3848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[3]</w:t>
      </w:r>
    </w:p>
    <w:p w14:paraId="48320A02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G. Spilberg, S.L. Carniato, R.M. King, et al.</w:t>
      </w:r>
    </w:p>
    <w:p w14:paraId="42B6BF20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Temporal evolution of susceptibility artifacts from coiled aneurysms on MR angiography: an in vivo canine study</w:t>
      </w:r>
    </w:p>
    <w:p w14:paraId="77CF04A4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Am J Neuroradiol, 33 (2011), pp. 655-660</w:t>
      </w:r>
    </w:p>
    <w:p w14:paraId="5BF1F57F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Google Scholar</w:t>
      </w:r>
    </w:p>
    <w:p w14:paraId="6C63F4F5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[4]</w:t>
      </w:r>
    </w:p>
    <w:p w14:paraId="51B94374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lastRenderedPageBreak/>
        <w:t>A.M. Frölich, S.M. Pilgram-Pastor, M.N. Psychogios, A. Mohr, M. Knauth</w:t>
      </w:r>
    </w:p>
    <w:p w14:paraId="4B5D9B12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Comparing different MR angiography strategies of carotid stents in a vascular flow model: toward stent-specific recommendations in MR follow-up</w:t>
      </w:r>
    </w:p>
    <w:p w14:paraId="6112EAE3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Neuroradiology, 53 (2011), pp. 359-365</w:t>
      </w:r>
    </w:p>
    <w:p w14:paraId="2DC9EF24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CrossRefView Record in ScopusGoogle Scholar</w:t>
      </w:r>
    </w:p>
    <w:p w14:paraId="36E80867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[5]</w:t>
      </w:r>
    </w:p>
    <w:p w14:paraId="7E972677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T. Klemm, S. Duda, J. Machann, et al.</w:t>
      </w:r>
    </w:p>
    <w:p w14:paraId="07AB9546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MR imaging in the presence of vascular stents: a systematic assessment of artifacts for various stent orientations, sequence types, and field strengths</w:t>
      </w:r>
    </w:p>
    <w:p w14:paraId="5C8A6396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J Magn Reson Imaging, 12 (2000), pp. 606-615</w:t>
      </w:r>
    </w:p>
    <w:p w14:paraId="441B646F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View Record in ScopusGoogle Scholar</w:t>
      </w:r>
    </w:p>
    <w:p w14:paraId="69E8C239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[6]</w:t>
      </w:r>
    </w:p>
    <w:p w14:paraId="217004FD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D. Maintz, H. Kugel, F. Schellhammer, P. Landwehr</w:t>
      </w:r>
    </w:p>
    <w:p w14:paraId="617C102F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In vitro evaluation of intravascular stent artifacts in three-dimensional MR angiography</w:t>
      </w:r>
    </w:p>
    <w:p w14:paraId="6F85D6B4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Invest Radiol, 36 (2001), pp. 218-224</w:t>
      </w:r>
    </w:p>
    <w:p w14:paraId="7C8AAC5A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View Record in ScopusGoogle Scholar</w:t>
      </w:r>
    </w:p>
    <w:p w14:paraId="6F02E75D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[7]</w:t>
      </w:r>
    </w:p>
    <w:p w14:paraId="5D72BF90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T. Straube, S. Wolf, A. Flesser, et al.</w:t>
      </w:r>
    </w:p>
    <w:p w14:paraId="162BDCFE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MRI of carotid stents: influence of stent properties and sequence parameters on visualization of the carotid artery lumen</w:t>
      </w:r>
    </w:p>
    <w:p w14:paraId="2BC9C268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Rofo, 177 (2005), pp. 375-380</w:t>
      </w:r>
    </w:p>
    <w:p w14:paraId="7633EA37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CrossRefView Record in ScopusGoogle Scholar</w:t>
      </w:r>
    </w:p>
    <w:p w14:paraId="40AD4966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[8]</w:t>
      </w:r>
    </w:p>
    <w:p w14:paraId="52E5ACFD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L. Zrinzo, F. Yoshida, M.I. Hariz, et al.</w:t>
      </w:r>
    </w:p>
    <w:p w14:paraId="502A4512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Clinical safety of brain magnetic resonance imaging with implanted deep brain stimulation hardware: large case series and review of the literature</w:t>
      </w:r>
    </w:p>
    <w:p w14:paraId="00A8913E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World Neurosurg, 76 (2011), pp. 164-172</w:t>
      </w:r>
    </w:p>
    <w:p w14:paraId="5DD8B8DC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ArticleDownload PDFView Record in ScopusGoogle Scholar</w:t>
      </w:r>
    </w:p>
    <w:p w14:paraId="5E38B8BF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[9]</w:t>
      </w:r>
    </w:p>
    <w:p w14:paraId="4114611C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C. Pollo, J.G. Villemure, F. Vingerhoets, J. Ghika, P. Maeder, R. Meuli</w:t>
      </w:r>
    </w:p>
    <w:p w14:paraId="45DE5453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Magnetic resonance artifact induced by the electrode Activa 3389: an in vitro and in vivo study</w:t>
      </w:r>
    </w:p>
    <w:p w14:paraId="7D55D63B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Acta Neurochir, 146 (2004), pp. 161-164</w:t>
      </w:r>
    </w:p>
    <w:p w14:paraId="61088CB8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View Record in ScopusGoogle Scholar</w:t>
      </w:r>
    </w:p>
    <w:p w14:paraId="200B4F47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[10]</w:t>
      </w:r>
    </w:p>
    <w:p w14:paraId="6CED27DD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lastRenderedPageBreak/>
        <w:t>J. Yelnik, P. Damier, S. Demeret, et al.</w:t>
      </w:r>
    </w:p>
    <w:p w14:paraId="611F37A7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Localization of stimulating electrodes in patients with Parkinson disease by using a three-dimensional atlas-magnetic resonance imaging coregistration method</w:t>
      </w:r>
    </w:p>
    <w:p w14:paraId="05A6F0F1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J Neurosurg, 99 (2003), pp. 89-99</w:t>
      </w:r>
    </w:p>
    <w:p w14:paraId="7075F6E9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CrossRefView Record in ScopusGoogle Scholar</w:t>
      </w:r>
    </w:p>
    <w:p w14:paraId="788E2CAC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[11]</w:t>
      </w:r>
    </w:p>
    <w:p w14:paraId="0154AF36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L. Zrinzo, A.L. van Hulzen, A.A. Gorgulho, et al.</w:t>
      </w:r>
    </w:p>
    <w:p w14:paraId="28D24D50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Avoiding the ventricle: a simple step to improve accuracy of anatomical targeting during deep brain stimulation</w:t>
      </w:r>
    </w:p>
    <w:p w14:paraId="26ECAD5D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J Neurosurg, 110 (2009), pp. 1283-1290</w:t>
      </w:r>
    </w:p>
    <w:p w14:paraId="60C389B5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View Record in ScopusGoogle Scholar</w:t>
      </w:r>
    </w:p>
    <w:p w14:paraId="4886E0CC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[12]</w:t>
      </w:r>
    </w:p>
    <w:p w14:paraId="796AD3D0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D.Y. Kwon, B.J. Kim, K.W. Park</w:t>
      </w:r>
    </w:p>
    <w:p w14:paraId="124CCD60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MRI artifact mimicking root compression by interbody cage displacement</w:t>
      </w:r>
    </w:p>
    <w:p w14:paraId="276F8443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Am J Phys Med Rehabil, 87 (5) (2008), pp. 423-424</w:t>
      </w:r>
    </w:p>
    <w:p w14:paraId="7C31D481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View Record in ScopusGoogle Scholar</w:t>
      </w:r>
    </w:p>
    <w:p w14:paraId="1EB254B9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[13]</w:t>
      </w:r>
    </w:p>
    <w:p w14:paraId="3A68FA6D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M.J. Arunkumar, V. Rajshekhar</w:t>
      </w:r>
    </w:p>
    <w:p w14:paraId="685BEA6E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Artifacts in magnetic resonance images following anterior cervical discectomy and fusion: report of two cases</w:t>
      </w:r>
    </w:p>
    <w:p w14:paraId="293D7F10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Br J Neurosurg, 12 (1998), pp. 553-555</w:t>
      </w:r>
    </w:p>
    <w:p w14:paraId="37406161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View Record in ScopusGoogle Scholar</w:t>
      </w:r>
    </w:p>
    <w:p w14:paraId="3BE4948A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[14]</w:t>
      </w:r>
    </w:p>
    <w:p w14:paraId="4B2344DA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J.L. Salazar, M. Misra, D. Bloom, G. Dobben</w:t>
      </w:r>
    </w:p>
    <w:p w14:paraId="23154D6B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MRI artifacts following anterior cervical diskectomy</w:t>
      </w:r>
    </w:p>
    <w:p w14:paraId="0347BCC5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Surg Neurol, 48 (1997), pp. 23-29</w:t>
      </w:r>
    </w:p>
    <w:p w14:paraId="72217C33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ArticleDownload PDFView Record in ScopusGoogle Scholar</w:t>
      </w:r>
    </w:p>
    <w:p w14:paraId="09A697EF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[15]</w:t>
      </w:r>
    </w:p>
    <w:p w14:paraId="571F697D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J.F. Schenck</w:t>
      </w:r>
    </w:p>
    <w:p w14:paraId="6B1ECD0E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The role of magnetic susceptibility in magnetic resonance imaging: MRI magnetic compatibility of the first and second kinds</w:t>
      </w:r>
    </w:p>
    <w:p w14:paraId="17AD7A77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Med Phys, 23 (1996), pp. 815-850</w:t>
      </w:r>
    </w:p>
    <w:p w14:paraId="753FDBC1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View Record in ScopusGoogle Scholar</w:t>
      </w:r>
    </w:p>
    <w:p w14:paraId="2DDE619E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[16]</w:t>
      </w:r>
    </w:p>
    <w:p w14:paraId="4753B075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W.M. Speers, D.A. Yablonskiy, M.C. Oswood, J.J. Ackerman</w:t>
      </w:r>
    </w:p>
    <w:p w14:paraId="70A54BF9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lastRenderedPageBreak/>
        <w:t>Water proton MR properties of human blood at 1.5 Tesla: magnetic susceptibility, T(1), T(2), T*(2), and non-Lorentzian signal behavior</w:t>
      </w:r>
    </w:p>
    <w:p w14:paraId="106076A3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Magn Reson Med, 45 (2001), pp. 533-542</w:t>
      </w:r>
    </w:p>
    <w:p w14:paraId="5FB40356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Google Scholar</w:t>
      </w:r>
    </w:p>
    <w:p w14:paraId="17F0D5F5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[17]</w:t>
      </w:r>
    </w:p>
    <w:p w14:paraId="0D4CD812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N. Kitamura, R. Nakai, H. Kohda, K. Furuta-Okamoto, H. Iwata</w:t>
      </w:r>
    </w:p>
    <w:p w14:paraId="5809E9A1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Labeling of islet cells with iron oxide nanoparticles through DNA hybridization for highly sensitive detection by MRI</w:t>
      </w:r>
    </w:p>
    <w:p w14:paraId="0F549D15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Bioorg Med Chem, 21 (2013), pp. 7175-7181</w:t>
      </w:r>
    </w:p>
    <w:p w14:paraId="3C1AEF11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ArticleDownload PDFView Record in ScopusGoogle Scholar</w:t>
      </w:r>
    </w:p>
    <w:p w14:paraId="7052411B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[18]</w:t>
      </w:r>
    </w:p>
    <w:p w14:paraId="1E989229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E.Y. Egawa, N. Kitamura, R. Nakai, Y. Arima, H. Iwata</w:t>
      </w:r>
    </w:p>
    <w:p w14:paraId="5E2BF15B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 DNA hybridization system for labeling of neural stem cells with SPIO nanoparticles for MRI monitoring post-transplantation</w:t>
      </w:r>
    </w:p>
    <w:p w14:paraId="56D70E51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Biomaterials, 54 (2015), pp. 158-167</w:t>
      </w:r>
    </w:p>
    <w:p w14:paraId="134D2699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ArticleDownload PDFView Record in ScopusGoogle Scholar</w:t>
      </w:r>
    </w:p>
    <w:p w14:paraId="11CE8803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[19]</w:t>
      </w:r>
    </w:p>
    <w:p w14:paraId="3B44990E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M. Hongo</w:t>
      </w:r>
    </w:p>
    <w:p w14:paraId="51B0903E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Kikinzoku no Kagaku (Precious Metals Science and Industry - Application), Rev. Ed.</w:t>
      </w:r>
    </w:p>
    <w:p w14:paraId="7D9A7269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Tanaka Kikinzoku Kogyo K.K. (2001)</w:t>
      </w:r>
    </w:p>
    <w:p w14:paraId="292428D2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[in Japanese]</w:t>
      </w:r>
    </w:p>
    <w:p w14:paraId="6B3ED1BC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Google Scholar</w:t>
      </w:r>
    </w:p>
    <w:p w14:paraId="64010425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[20]</w:t>
      </w:r>
    </w:p>
    <w:p w14:paraId="1608DA2F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J. Starcukova, Z. Starcuk, H. Hubalkova, I. Linetskiy</w:t>
      </w:r>
    </w:p>
    <w:p w14:paraId="6CA6EF46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Magnetic susceptibility and electrical conductivity of metallic dental materials and their impact on MR imaging artifacts</w:t>
      </w:r>
    </w:p>
    <w:p w14:paraId="5B364517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Dent Mater, 24 (2008), pp. 715-723</w:t>
      </w:r>
    </w:p>
    <w:p w14:paraId="4C057C84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ArticleDownload PDFView Record in ScopusGoogle Scholar</w:t>
      </w:r>
    </w:p>
    <w:p w14:paraId="0986A2C8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[21]</w:t>
      </w:r>
    </w:p>
    <w:p w14:paraId="0D1F896F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L.H. Bennett, P.S. Wang, M.J. Donahue</w:t>
      </w:r>
    </w:p>
    <w:p w14:paraId="0DE81256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Artifacts in magnetic resonance imaging from metals</w:t>
      </w:r>
    </w:p>
    <w:p w14:paraId="1B142AC3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J Appl Phys, 79 (1996), pp. 4712-4714</w:t>
      </w:r>
    </w:p>
    <w:p w14:paraId="6FB9332F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View Record in ScopusGoogle Scholar</w:t>
      </w:r>
    </w:p>
    <w:p w14:paraId="2EED82B1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[22]</w:t>
      </w:r>
    </w:p>
    <w:p w14:paraId="68BB9A70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Y. Li, M.A. Trush, J.D. Yager</w:t>
      </w:r>
    </w:p>
    <w:p w14:paraId="0020A83D" w14:textId="77777777" w:rsidR="00914EF8" w:rsidRPr="00914EF8" w:rsidRDefault="00914EF8" w:rsidP="00914EF8">
      <w:pPr>
        <w:rPr>
          <w:rFonts w:ascii="Century" w:hAnsi="Century" w:cs="Century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lastRenderedPageBreak/>
        <w:t>DNA damage caused by reactive oxygen species originating from a copper-dependent oxidation of the 2-hydroxy catechol of estradiol</w:t>
      </w:r>
    </w:p>
    <w:p w14:paraId="50CE0869" w14:textId="7FE2CEB3" w:rsidR="00914EF8" w:rsidRDefault="00914EF8" w:rsidP="00914EF8">
      <w:pPr>
        <w:rPr>
          <w:rFonts w:ascii="Century" w:hAnsi="Century" w:cs="Century" w:hint="eastAsia"/>
          <w:color w:val="000000"/>
          <w:sz w:val="22"/>
          <w:szCs w:val="22"/>
        </w:rPr>
      </w:pPr>
      <w:r w:rsidRPr="00914EF8">
        <w:rPr>
          <w:rFonts w:ascii="Century" w:hAnsi="Century" w:cs="Century"/>
          <w:color w:val="000000"/>
          <w:sz w:val="22"/>
          <w:szCs w:val="22"/>
        </w:rPr>
        <w:t>Carcinogenesis, 15 (1994), pp. 1421-1427</w:t>
      </w:r>
    </w:p>
    <w:sectPr w:rsidR="00914E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0D5B9C"/>
    <w:multiLevelType w:val="hybridMultilevel"/>
    <w:tmpl w:val="5A76E478"/>
    <w:lvl w:ilvl="0" w:tplc="8C46FFAC">
      <w:start w:val="1"/>
      <w:numFmt w:val="decimal"/>
      <w:lvlText w:val="%1."/>
      <w:lvlJc w:val="left"/>
      <w:pPr>
        <w:ind w:left="480" w:hanging="480"/>
      </w:pPr>
      <w:rPr>
        <w:b w:val="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8D"/>
    <w:rsid w:val="000E078D"/>
    <w:rsid w:val="001B76D4"/>
    <w:rsid w:val="002024BF"/>
    <w:rsid w:val="00204C53"/>
    <w:rsid w:val="0067321F"/>
    <w:rsid w:val="00914EF8"/>
    <w:rsid w:val="00C8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01790E"/>
  <w15:chartTrackingRefBased/>
  <w15:docId w15:val="{18AD8951-ABF2-4D8D-B069-55093971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78D"/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78D"/>
    <w:pPr>
      <w:widowControl w:val="0"/>
    </w:pPr>
    <w:rPr>
      <w:kern w:val="2"/>
    </w:rPr>
  </w:style>
  <w:style w:type="character" w:styleId="a4">
    <w:name w:val="Hyperlink"/>
    <w:basedOn w:val="a0"/>
    <w:uiPriority w:val="99"/>
    <w:unhideWhenUsed/>
    <w:rsid w:val="000E07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hlw.go.jp/english/database/db-hh/1-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2253</Words>
  <Characters>12844</Characters>
  <Application>Microsoft Office Word</Application>
  <DocSecurity>0</DocSecurity>
  <Lines>107</Lines>
  <Paragraphs>30</Paragraphs>
  <ScaleCrop>false</ScaleCrop>
  <Company/>
  <LinksUpToDate>false</LinksUpToDate>
  <CharactersWithSpaces>15067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Kodama Tomonobu</dc:creator>
  <cp:keywords/>
  <dc:description/>
  <cp:lastModifiedBy>Kodama Tomonobu</cp:lastModifiedBy>
  <cp:revision>4</cp:revision>
  <dcterms:created xsi:type="dcterms:W3CDTF">2021-05-27T23:13:00Z</dcterms:created>
  <dcterms:modified xsi:type="dcterms:W3CDTF">2021-05-28T00:14:00Z</dcterms:modified>
</cp:coreProperties>
</file>